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0E4A" w14:textId="10E41B1A" w:rsidR="004F5599" w:rsidRPr="002334DB" w:rsidRDefault="004F5599" w:rsidP="002334DB">
      <w:pPr>
        <w:pStyle w:val="a9"/>
        <w:numPr>
          <w:ilvl w:val="0"/>
          <w:numId w:val="7"/>
        </w:numPr>
        <w:rPr>
          <w:b/>
          <w:bCs/>
        </w:rPr>
      </w:pPr>
      <w:r w:rsidRPr="002334DB">
        <w:rPr>
          <w:b/>
          <w:bCs/>
        </w:rPr>
        <w:t>収支状況の可視化とPDCAサイクル</w:t>
      </w:r>
    </w:p>
    <w:p w14:paraId="6ACE8C2A" w14:textId="77777777" w:rsidR="002334DB" w:rsidRDefault="002334DB" w:rsidP="003D4AD1"/>
    <w:p w14:paraId="59A9C586" w14:textId="4C0F90AC" w:rsidR="003D4AD1" w:rsidRPr="003D4AD1" w:rsidRDefault="003D4AD1" w:rsidP="003D4AD1">
      <w:pPr>
        <w:rPr>
          <w:b/>
          <w:bCs/>
          <w:color w:val="EE0000"/>
        </w:rPr>
      </w:pPr>
      <w:r w:rsidRPr="003D4AD1">
        <w:rPr>
          <w:rFonts w:hint="eastAsia"/>
          <w:b/>
          <w:bCs/>
          <w:color w:val="EE0000"/>
        </w:rPr>
        <w:t>このページでは、勤務医が忙しい中でも無理なく実践できる</w:t>
      </w:r>
      <w:r w:rsidR="003B6A5C">
        <w:rPr>
          <w:rFonts w:hint="eastAsia"/>
          <w:b/>
          <w:bCs/>
          <w:color w:val="EE0000"/>
        </w:rPr>
        <w:t>。</w:t>
      </w:r>
    </w:p>
    <w:p w14:paraId="610B97B8" w14:textId="77777777" w:rsidR="003D4AD1" w:rsidRPr="003D4AD1" w:rsidRDefault="003D4AD1" w:rsidP="003D4AD1">
      <w:pPr>
        <w:rPr>
          <w:b/>
          <w:bCs/>
          <w:color w:val="EE0000"/>
        </w:rPr>
      </w:pPr>
      <w:r w:rsidRPr="003D4AD1">
        <w:rPr>
          <w:rFonts w:hint="eastAsia"/>
          <w:b/>
          <w:bCs/>
          <w:color w:val="EE0000"/>
        </w:rPr>
        <w:t>・収支の把握方法</w:t>
      </w:r>
    </w:p>
    <w:p w14:paraId="14C85938" w14:textId="77777777" w:rsidR="003D4AD1" w:rsidRPr="003D4AD1" w:rsidRDefault="003D4AD1" w:rsidP="003D4AD1">
      <w:pPr>
        <w:rPr>
          <w:b/>
          <w:bCs/>
          <w:color w:val="EE0000"/>
        </w:rPr>
      </w:pPr>
      <w:r w:rsidRPr="003D4AD1">
        <w:rPr>
          <w:rFonts w:hint="eastAsia"/>
          <w:b/>
          <w:bCs/>
          <w:color w:val="EE0000"/>
        </w:rPr>
        <w:t>・資産形成を継続するための</w:t>
      </w:r>
      <w:r w:rsidRPr="003D4AD1">
        <w:rPr>
          <w:b/>
          <w:bCs/>
          <w:color w:val="EE0000"/>
        </w:rPr>
        <w:t>PDCAの回し方</w:t>
      </w:r>
    </w:p>
    <w:p w14:paraId="1602F816" w14:textId="651377FB" w:rsidR="003D4AD1" w:rsidRPr="003D4AD1" w:rsidRDefault="003D4AD1" w:rsidP="003D4AD1">
      <w:r w:rsidRPr="003D4AD1">
        <w:rPr>
          <w:rFonts w:hint="eastAsia"/>
          <w:b/>
          <w:bCs/>
          <w:color w:val="EE0000"/>
        </w:rPr>
        <w:t>を、具体例を交えて解説します。</w:t>
      </w:r>
    </w:p>
    <w:p w14:paraId="516BC5CF" w14:textId="77777777" w:rsidR="003D4AD1" w:rsidRPr="004F5599" w:rsidRDefault="003D4AD1" w:rsidP="003D4AD1"/>
    <w:p w14:paraId="6C48F6E2" w14:textId="40017FD6" w:rsidR="004333B2" w:rsidRPr="004333B2" w:rsidRDefault="004333B2" w:rsidP="004333B2">
      <w:r w:rsidRPr="004333B2">
        <w:t>勤務医が資産形成を</w:t>
      </w:r>
      <w:r w:rsidR="00F6754B" w:rsidRPr="00F6754B">
        <w:rPr>
          <w:rFonts w:hint="eastAsia"/>
          <w:b/>
          <w:bCs/>
          <w:color w:val="EE0000"/>
        </w:rPr>
        <w:t>安定的に進めるためには</w:t>
      </w:r>
      <w:r w:rsidRPr="004333B2">
        <w:t>、高額な給与所得を効率よく資産へ変える仕組み作りが重要です。収支の可視化とPDCAサイクルの具体的な手法を解説します。</w:t>
      </w:r>
    </w:p>
    <w:p w14:paraId="46341B56" w14:textId="3A81C71F" w:rsidR="004333B2" w:rsidRPr="004333B2" w:rsidRDefault="004F5599" w:rsidP="004333B2">
      <w:pPr>
        <w:rPr>
          <w:b/>
          <w:bCs/>
        </w:rPr>
      </w:pPr>
      <w:r>
        <w:rPr>
          <w:rFonts w:hint="eastAsia"/>
          <w:b/>
          <w:bCs/>
        </w:rPr>
        <w:t>①</w:t>
      </w:r>
      <w:r w:rsidR="004333B2" w:rsidRPr="004333B2">
        <w:rPr>
          <w:b/>
          <w:bCs/>
        </w:rPr>
        <w:t xml:space="preserve"> 収支の可視化（現状把握の仕組み化）</w:t>
      </w:r>
    </w:p>
    <w:p w14:paraId="580986FC" w14:textId="2116497F" w:rsidR="004333B2" w:rsidRPr="004333B2" w:rsidRDefault="004333B2" w:rsidP="004333B2">
      <w:r w:rsidRPr="004333B2">
        <w:t>勤務医は多忙なため、</w:t>
      </w:r>
      <w:r w:rsidRPr="004333B2">
        <w:rPr>
          <w:b/>
          <w:bCs/>
        </w:rPr>
        <w:t>「自動化」</w:t>
      </w:r>
      <w:r w:rsidRPr="004333B2">
        <w:t>が可視化の</w:t>
      </w:r>
      <w:r w:rsidR="00B40645">
        <w:rPr>
          <w:rFonts w:hint="eastAsia"/>
        </w:rPr>
        <w:t>カギ</w:t>
      </w:r>
      <w:r w:rsidRPr="004333B2">
        <w:t>となります。</w:t>
      </w:r>
    </w:p>
    <w:p w14:paraId="54E27E4A" w14:textId="11F3995C" w:rsidR="004F5599" w:rsidRPr="004F5599" w:rsidRDefault="004333B2" w:rsidP="00A1797C">
      <w:pPr>
        <w:pStyle w:val="a9"/>
        <w:numPr>
          <w:ilvl w:val="0"/>
          <w:numId w:val="4"/>
        </w:numPr>
        <w:snapToGrid w:val="0"/>
        <w:ind w:rightChars="809" w:right="1699"/>
      </w:pPr>
      <w:r w:rsidRPr="004F5599">
        <w:rPr>
          <w:b/>
          <w:bCs/>
        </w:rPr>
        <w:t>自動家計簿・資産管理アプリの</w:t>
      </w:r>
      <w:r w:rsidR="001A214A">
        <w:rPr>
          <w:rFonts w:hint="eastAsia"/>
          <w:b/>
          <w:bCs/>
        </w:rPr>
        <w:t>活用</w:t>
      </w:r>
    </w:p>
    <w:p w14:paraId="008C5C19" w14:textId="51CEBA25" w:rsidR="004333B2" w:rsidRDefault="004333B2" w:rsidP="001A214A">
      <w:pPr>
        <w:snapToGrid w:val="0"/>
        <w:ind w:left="851" w:right="-1"/>
      </w:pPr>
      <w:r w:rsidRPr="004333B2">
        <w:t>給与振込口座、クレジットカード、証券口座を</w:t>
      </w:r>
      <w:r w:rsidR="004F5599">
        <w:rPr>
          <w:rFonts w:hint="eastAsia"/>
        </w:rPr>
        <w:t>アプリで</w:t>
      </w:r>
      <w:r w:rsidRPr="004333B2">
        <w:t>連携させます。</w:t>
      </w:r>
    </w:p>
    <w:p w14:paraId="4B104638" w14:textId="4732F8F2" w:rsidR="004F5599" w:rsidRDefault="004F5599" w:rsidP="001A214A">
      <w:pPr>
        <w:snapToGrid w:val="0"/>
        <w:ind w:left="851" w:right="-1"/>
      </w:pPr>
      <w:r>
        <w:rPr>
          <w:rFonts w:hint="eastAsia"/>
        </w:rPr>
        <w:t>例）</w:t>
      </w:r>
      <w:r w:rsidRPr="004F5599">
        <w:rPr>
          <w:rFonts w:hint="eastAsia"/>
        </w:rPr>
        <w:t>「マネーフォワード</w:t>
      </w:r>
      <w:r w:rsidRPr="004F5599">
        <w:t xml:space="preserve"> ME」「Zaim」など</w:t>
      </w:r>
    </w:p>
    <w:p w14:paraId="375041DA" w14:textId="63DAD1F7" w:rsidR="00AC2E8C" w:rsidRPr="00AC2E8C" w:rsidRDefault="00705B99" w:rsidP="00AC2E8C">
      <w:pPr>
        <w:snapToGrid w:val="0"/>
        <w:ind w:left="851" w:right="-1"/>
        <w:rPr>
          <w:b/>
          <w:bCs/>
          <w:color w:val="EE0000"/>
        </w:rPr>
      </w:pPr>
      <w:r>
        <w:rPr>
          <w:rFonts w:hint="eastAsia"/>
          <w:b/>
          <w:bCs/>
          <w:color w:val="EE0000"/>
        </w:rPr>
        <w:t>※</w:t>
      </w:r>
      <w:r w:rsidR="00AC2E8C" w:rsidRPr="00AC2E8C">
        <w:rPr>
          <w:b/>
          <w:bCs/>
          <w:color w:val="EE0000"/>
        </w:rPr>
        <w:t>月次で大きな支出項目が把握できれば十分</w:t>
      </w:r>
      <w:r>
        <w:rPr>
          <w:rFonts w:hint="eastAsia"/>
          <w:b/>
          <w:bCs/>
          <w:color w:val="EE0000"/>
        </w:rPr>
        <w:t>です。</w:t>
      </w:r>
    </w:p>
    <w:p w14:paraId="33CD33D3" w14:textId="77777777" w:rsidR="004F5599" w:rsidRDefault="004F5599" w:rsidP="004F5599">
      <w:pPr>
        <w:pStyle w:val="a9"/>
        <w:numPr>
          <w:ilvl w:val="0"/>
          <w:numId w:val="4"/>
        </w:numPr>
      </w:pPr>
      <w:bookmarkStart w:id="0" w:name="_Hlk219267022"/>
      <w:r>
        <w:rPr>
          <w:rFonts w:hint="eastAsia"/>
          <w:b/>
          <w:bCs/>
        </w:rPr>
        <w:t>キャッシュレスの活用</w:t>
      </w:r>
      <w:r w:rsidR="004333B2" w:rsidRPr="004333B2">
        <w:t> </w:t>
      </w:r>
    </w:p>
    <w:bookmarkEnd w:id="0"/>
    <w:p w14:paraId="23B5E9CD" w14:textId="0FB3F251" w:rsidR="004333B2" w:rsidRPr="004333B2" w:rsidRDefault="004333B2" w:rsidP="001A214A">
      <w:pPr>
        <w:pStyle w:val="a9"/>
        <w:ind w:left="851"/>
      </w:pPr>
      <w:r w:rsidRPr="004333B2">
        <w:t>支払いをキャッシュレスに集約することで、支出が自動的に分類・グラフ化され</w:t>
      </w:r>
      <w:r w:rsidR="00F34087">
        <w:rPr>
          <w:rFonts w:hint="eastAsia"/>
        </w:rPr>
        <w:t>るものもあり</w:t>
      </w:r>
      <w:r w:rsidRPr="004333B2">
        <w:t>、手間をかけずに「何にいくら使っているか」をリアルタイムで把握できます。</w:t>
      </w:r>
    </w:p>
    <w:p w14:paraId="79B8839F" w14:textId="2EBB9C72" w:rsidR="002C616A" w:rsidRDefault="002C616A" w:rsidP="002C616A">
      <w:pPr>
        <w:pStyle w:val="a9"/>
        <w:numPr>
          <w:ilvl w:val="0"/>
          <w:numId w:val="4"/>
        </w:numPr>
      </w:pPr>
      <w:r>
        <w:rPr>
          <w:rFonts w:hint="eastAsia"/>
          <w:b/>
          <w:bCs/>
        </w:rPr>
        <w:t>貸借対照表（B/S）の作成</w:t>
      </w:r>
      <w:r w:rsidRPr="004333B2">
        <w:t> </w:t>
      </w:r>
    </w:p>
    <w:p w14:paraId="14D7123A" w14:textId="53DDE8D6" w:rsidR="004333B2" w:rsidRDefault="004333B2" w:rsidP="001A214A">
      <w:pPr>
        <w:adjustRightInd w:val="0"/>
        <w:snapToGrid w:val="0"/>
        <w:ind w:leftChars="405" w:left="850"/>
      </w:pPr>
      <w:r w:rsidRPr="004333B2">
        <w:t>月次の収支（P/L）だけでなく、預貯金、株式、不動産、ローン残高などの「保有資産の全体像」を把握することが不可欠です。 </w:t>
      </w:r>
    </w:p>
    <w:p w14:paraId="78DA1680" w14:textId="134BFFA8" w:rsidR="00F52074" w:rsidRPr="001518AF" w:rsidRDefault="00F52074" w:rsidP="00483B87">
      <w:pPr>
        <w:adjustRightInd w:val="0"/>
        <w:snapToGrid w:val="0"/>
        <w:ind w:leftChars="405" w:left="850"/>
        <w:rPr>
          <w:b/>
          <w:bCs/>
          <w:color w:val="EE0000"/>
        </w:rPr>
      </w:pPr>
      <w:r w:rsidRPr="001518AF">
        <w:rPr>
          <w:rFonts w:hint="eastAsia"/>
          <w:b/>
          <w:bCs/>
          <w:color w:val="EE0000"/>
        </w:rPr>
        <w:t>※</w:t>
      </w:r>
      <w:r w:rsidR="00483B87" w:rsidRPr="001518AF">
        <w:rPr>
          <w:rFonts w:hint="eastAsia"/>
          <w:b/>
          <w:bCs/>
          <w:color w:val="EE0000"/>
        </w:rPr>
        <w:t>年</w:t>
      </w:r>
      <w:r w:rsidR="00783236">
        <w:rPr>
          <w:rFonts w:hint="eastAsia"/>
          <w:b/>
          <w:bCs/>
          <w:color w:val="EE0000"/>
        </w:rPr>
        <w:t>1</w:t>
      </w:r>
      <w:r w:rsidR="0048063B" w:rsidRPr="001518AF">
        <w:rPr>
          <w:rFonts w:hint="eastAsia"/>
          <w:b/>
          <w:bCs/>
          <w:color w:val="EE0000"/>
        </w:rPr>
        <w:t>～</w:t>
      </w:r>
      <w:r w:rsidR="00483B87" w:rsidRPr="001518AF">
        <w:rPr>
          <w:rFonts w:hint="eastAsia"/>
          <w:b/>
          <w:bCs/>
          <w:color w:val="EE0000"/>
        </w:rPr>
        <w:t>2</w:t>
      </w:r>
      <w:r w:rsidRPr="001518AF">
        <w:rPr>
          <w:b/>
          <w:bCs/>
          <w:color w:val="EE0000"/>
        </w:rPr>
        <w:t>回更新できればOK</w:t>
      </w:r>
      <w:r w:rsidR="00145F5A">
        <w:rPr>
          <w:rFonts w:hint="eastAsia"/>
          <w:b/>
          <w:bCs/>
          <w:color w:val="EE0000"/>
        </w:rPr>
        <w:t>。</w:t>
      </w:r>
    </w:p>
    <w:p w14:paraId="19E2F541" w14:textId="30EB8440" w:rsidR="004333B2" w:rsidRPr="004333B2" w:rsidRDefault="002C616A" w:rsidP="004333B2">
      <w:pPr>
        <w:rPr>
          <w:b/>
          <w:bCs/>
        </w:rPr>
      </w:pPr>
      <w:r>
        <w:rPr>
          <w:rFonts w:hint="eastAsia"/>
          <w:b/>
          <w:bCs/>
        </w:rPr>
        <w:t>②</w:t>
      </w:r>
      <w:r w:rsidR="004333B2" w:rsidRPr="004333B2">
        <w:rPr>
          <w:b/>
          <w:bCs/>
        </w:rPr>
        <w:t xml:space="preserve"> 資産形成</w:t>
      </w:r>
      <w:r>
        <w:rPr>
          <w:rFonts w:hint="eastAsia"/>
          <w:b/>
          <w:bCs/>
        </w:rPr>
        <w:t>のための</w:t>
      </w:r>
      <w:r w:rsidR="004333B2" w:rsidRPr="004333B2">
        <w:rPr>
          <w:b/>
          <w:bCs/>
        </w:rPr>
        <w:t>PDCAサイクル</w:t>
      </w:r>
    </w:p>
    <w:p w14:paraId="32E786F5" w14:textId="33FA1BD6" w:rsidR="004333B2" w:rsidRPr="004333B2" w:rsidRDefault="004333B2" w:rsidP="004333B2">
      <w:r w:rsidRPr="004333B2">
        <w:t>可視化した</w:t>
      </w:r>
      <w:r w:rsidR="002C616A">
        <w:rPr>
          <w:rFonts w:hint="eastAsia"/>
        </w:rPr>
        <w:t>資産データや収支</w:t>
      </w:r>
      <w:r w:rsidRPr="004333B2">
        <w:t>データを基に、以下のステップを回します。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6799"/>
      </w:tblGrid>
      <w:tr w:rsidR="004333B2" w:rsidRPr="004333B2" w14:paraId="194EAE8F" w14:textId="77777777" w:rsidTr="0032384A">
        <w:tc>
          <w:tcPr>
            <w:tcW w:w="1701" w:type="dxa"/>
            <w:tcMar>
              <w:top w:w="120" w:type="dxa"/>
              <w:left w:w="0" w:type="dxa"/>
              <w:bottom w:w="120" w:type="dxa"/>
              <w:right w:w="240" w:type="dxa"/>
            </w:tcMar>
            <w:hideMark/>
          </w:tcPr>
          <w:p w14:paraId="77313A02" w14:textId="77777777" w:rsidR="004333B2" w:rsidRPr="004333B2" w:rsidRDefault="004333B2" w:rsidP="004333B2">
            <w:pPr>
              <w:rPr>
                <w:b/>
                <w:bCs/>
              </w:rPr>
            </w:pPr>
            <w:r w:rsidRPr="004333B2">
              <w:rPr>
                <w:b/>
                <w:bCs/>
              </w:rPr>
              <w:t>フェーズ </w:t>
            </w:r>
          </w:p>
        </w:tc>
        <w:tc>
          <w:tcPr>
            <w:tcW w:w="6799" w:type="dxa"/>
            <w:tcMar>
              <w:top w:w="120" w:type="dxa"/>
              <w:left w:w="0" w:type="dxa"/>
              <w:bottom w:w="120" w:type="dxa"/>
              <w:right w:w="0" w:type="dxa"/>
            </w:tcMar>
            <w:hideMark/>
          </w:tcPr>
          <w:p w14:paraId="368B4E7C" w14:textId="77777777" w:rsidR="004333B2" w:rsidRPr="004333B2" w:rsidRDefault="004333B2" w:rsidP="004333B2">
            <w:pPr>
              <w:rPr>
                <w:b/>
                <w:bCs/>
              </w:rPr>
            </w:pPr>
            <w:r w:rsidRPr="004333B2">
              <w:rPr>
                <w:b/>
                <w:bCs/>
              </w:rPr>
              <w:t>具体的な手法</w:t>
            </w:r>
          </w:p>
        </w:tc>
      </w:tr>
      <w:tr w:rsidR="004333B2" w:rsidRPr="004333B2" w14:paraId="72CC0FAE" w14:textId="77777777" w:rsidTr="0032384A">
        <w:tc>
          <w:tcPr>
            <w:tcW w:w="1701" w:type="dxa"/>
            <w:tcMar>
              <w:top w:w="180" w:type="dxa"/>
              <w:left w:w="0" w:type="dxa"/>
              <w:bottom w:w="180" w:type="dxa"/>
              <w:right w:w="240" w:type="dxa"/>
            </w:tcMar>
            <w:hideMark/>
          </w:tcPr>
          <w:p w14:paraId="7A8B70AC" w14:textId="77777777" w:rsidR="004333B2" w:rsidRPr="004333B2" w:rsidRDefault="004333B2" w:rsidP="004333B2">
            <w:r w:rsidRPr="004333B2">
              <w:rPr>
                <w:b/>
                <w:bCs/>
              </w:rPr>
              <w:t>Plan（計画）</w:t>
            </w:r>
          </w:p>
        </w:tc>
        <w:tc>
          <w:tcPr>
            <w:tcW w:w="6799" w:type="dxa"/>
            <w:tcMar>
              <w:top w:w="180" w:type="dxa"/>
              <w:left w:w="0" w:type="dxa"/>
              <w:bottom w:w="180" w:type="dxa"/>
              <w:right w:w="0" w:type="dxa"/>
            </w:tcMar>
            <w:hideMark/>
          </w:tcPr>
          <w:p w14:paraId="0D4129C9" w14:textId="3F05FC8C" w:rsidR="002C616A" w:rsidRDefault="004333B2" w:rsidP="004333B2">
            <w:pPr>
              <w:rPr>
                <w:b/>
                <w:bCs/>
              </w:rPr>
            </w:pPr>
            <w:r w:rsidRPr="004333B2">
              <w:rPr>
                <w:b/>
                <w:bCs/>
              </w:rPr>
              <w:t>ライフプラン</w:t>
            </w:r>
            <w:r w:rsidR="002C616A">
              <w:rPr>
                <w:rFonts w:hint="eastAsia"/>
                <w:b/>
                <w:bCs/>
              </w:rPr>
              <w:t>・キャッシュフロー表の作成</w:t>
            </w:r>
          </w:p>
          <w:p w14:paraId="526E76B0" w14:textId="2EA0A5EB" w:rsidR="004333B2" w:rsidRPr="004333B2" w:rsidRDefault="002C616A" w:rsidP="004333B2">
            <w:r>
              <w:rPr>
                <w:rFonts w:hint="eastAsia"/>
              </w:rPr>
              <w:t>住宅ローン・</w:t>
            </w:r>
            <w:r w:rsidR="004333B2" w:rsidRPr="004333B2">
              <w:t>教育資金</w:t>
            </w:r>
            <w:r>
              <w:rPr>
                <w:rFonts w:hint="eastAsia"/>
              </w:rPr>
              <w:t>・開業・老後資金などライフイベントに合わせて</w:t>
            </w:r>
            <w:r w:rsidR="004333B2" w:rsidRPr="004333B2">
              <w:t>、将来必要な金額を算出し</w:t>
            </w:r>
            <w:r>
              <w:rPr>
                <w:rFonts w:hint="eastAsia"/>
              </w:rPr>
              <w:t>、キャッシュフロー表を作成します。作成にあたっては、FPなど専門家に依頼すると</w:t>
            </w:r>
            <w:r w:rsidR="001B7BCB">
              <w:rPr>
                <w:rFonts w:hint="eastAsia"/>
              </w:rPr>
              <w:t>効率的です。</w:t>
            </w:r>
          </w:p>
        </w:tc>
      </w:tr>
      <w:tr w:rsidR="004333B2" w:rsidRPr="004333B2" w14:paraId="0F961455" w14:textId="77777777" w:rsidTr="0032384A">
        <w:tc>
          <w:tcPr>
            <w:tcW w:w="1701" w:type="dxa"/>
            <w:tcMar>
              <w:top w:w="180" w:type="dxa"/>
              <w:left w:w="0" w:type="dxa"/>
              <w:bottom w:w="180" w:type="dxa"/>
              <w:right w:w="240" w:type="dxa"/>
            </w:tcMar>
            <w:hideMark/>
          </w:tcPr>
          <w:p w14:paraId="19828CEF" w14:textId="77777777" w:rsidR="004333B2" w:rsidRPr="004333B2" w:rsidRDefault="004333B2" w:rsidP="004333B2">
            <w:r w:rsidRPr="004333B2">
              <w:rPr>
                <w:b/>
                <w:bCs/>
              </w:rPr>
              <w:t>Do（実行）</w:t>
            </w:r>
          </w:p>
        </w:tc>
        <w:tc>
          <w:tcPr>
            <w:tcW w:w="6799" w:type="dxa"/>
            <w:tcMar>
              <w:top w:w="180" w:type="dxa"/>
              <w:left w:w="0" w:type="dxa"/>
              <w:bottom w:w="180" w:type="dxa"/>
              <w:right w:w="0" w:type="dxa"/>
            </w:tcMar>
            <w:hideMark/>
          </w:tcPr>
          <w:p w14:paraId="2FC917D2" w14:textId="7D66330A" w:rsidR="001B7BCB" w:rsidRDefault="004333B2" w:rsidP="004333B2">
            <w:pPr>
              <w:rPr>
                <w:b/>
                <w:bCs/>
              </w:rPr>
            </w:pPr>
            <w:r w:rsidRPr="004333B2">
              <w:rPr>
                <w:b/>
                <w:bCs/>
              </w:rPr>
              <w:t>先取り貯蓄と節税投資</w:t>
            </w:r>
          </w:p>
          <w:p w14:paraId="0DAD63D4" w14:textId="77777777" w:rsidR="007C747E" w:rsidRDefault="001B7BCB" w:rsidP="004333B2">
            <w:r>
              <w:rPr>
                <w:rFonts w:hint="eastAsia"/>
              </w:rPr>
              <w:t>キャッシュフロー表から明らかになった課題の対策として、</w:t>
            </w:r>
            <w:r w:rsidR="004333B2" w:rsidRPr="004333B2">
              <w:t>給与</w:t>
            </w:r>
            <w:r>
              <w:rPr>
                <w:rFonts w:hint="eastAsia"/>
              </w:rPr>
              <w:t>などからの</w:t>
            </w:r>
            <w:r w:rsidR="004333B2" w:rsidRPr="004333B2">
              <w:t>天引きで</w:t>
            </w:r>
            <w:r>
              <w:rPr>
                <w:rFonts w:hint="eastAsia"/>
              </w:rPr>
              <w:t>まずは安全な積立貯蓄を始めます。</w:t>
            </w:r>
            <w:r w:rsidRPr="001B7BCB">
              <w:t>「</w:t>
            </w:r>
            <w:proofErr w:type="spellStart"/>
            <w:r w:rsidRPr="001B7BCB">
              <w:t>iDeCo</w:t>
            </w:r>
            <w:proofErr w:type="spellEnd"/>
            <w:r w:rsidRPr="001B7BCB">
              <w:t>」</w:t>
            </w:r>
            <w:r>
              <w:rPr>
                <w:rFonts w:hint="eastAsia"/>
              </w:rPr>
              <w:t>の元本確保型商品の活用および協会会員専用の「保険医年金」「</w:t>
            </w:r>
            <w:proofErr w:type="spellStart"/>
            <w:r>
              <w:rPr>
                <w:rFonts w:hint="eastAsia"/>
              </w:rPr>
              <w:t>DefL</w:t>
            </w:r>
            <w:proofErr w:type="spellEnd"/>
            <w:r>
              <w:rPr>
                <w:rFonts w:hint="eastAsia"/>
              </w:rPr>
              <w:t>」を活用すると</w:t>
            </w:r>
            <w:r>
              <w:rPr>
                <w:rFonts w:hint="eastAsia"/>
              </w:rPr>
              <w:lastRenderedPageBreak/>
              <w:t>良いでしょう。</w:t>
            </w:r>
          </w:p>
          <w:p w14:paraId="40657714" w14:textId="33725054" w:rsidR="004333B2" w:rsidRPr="004333B2" w:rsidRDefault="007C747E" w:rsidP="004333B2">
            <w:r>
              <w:rPr>
                <w:rFonts w:hint="eastAsia"/>
              </w:rPr>
              <w:t>その上で、</w:t>
            </w:r>
            <w:r w:rsidR="001B7BCB">
              <w:rPr>
                <w:rFonts w:hint="eastAsia"/>
              </w:rPr>
              <w:t>余裕があ</w:t>
            </w:r>
            <w:r>
              <w:rPr>
                <w:rFonts w:hint="eastAsia"/>
              </w:rPr>
              <w:t>れば</w:t>
            </w:r>
            <w:r w:rsidR="001B7BCB" w:rsidRPr="001B7BCB">
              <w:t>「</w:t>
            </w:r>
            <w:proofErr w:type="spellStart"/>
            <w:r w:rsidR="001B7BCB" w:rsidRPr="001B7BCB">
              <w:t>iDeCo</w:t>
            </w:r>
            <w:proofErr w:type="spellEnd"/>
            <w:r w:rsidR="001B7BCB" w:rsidRPr="001B7BCB">
              <w:t>」</w:t>
            </w:r>
            <w:r w:rsidR="004333B2" w:rsidRPr="004333B2">
              <w:t>や「NISA」等の非課税制度</w:t>
            </w:r>
            <w:r w:rsidR="001B7BCB">
              <w:rPr>
                <w:rFonts w:hint="eastAsia"/>
              </w:rPr>
              <w:t>の利用枠</w:t>
            </w:r>
            <w:r>
              <w:rPr>
                <w:rFonts w:hint="eastAsia"/>
              </w:rPr>
              <w:t>に応じて検討すると</w:t>
            </w:r>
            <w:r w:rsidR="001B7BCB">
              <w:rPr>
                <w:rFonts w:hint="eastAsia"/>
              </w:rPr>
              <w:t>良いでしょう。</w:t>
            </w:r>
            <w:r>
              <w:rPr>
                <w:rFonts w:hint="eastAsia"/>
              </w:rPr>
              <w:t>ただし、投資信託や株式個別銘柄への投資は、元本割れリスクがありますので、商品選定は慎重に行いましょう。</w:t>
            </w:r>
            <w:r w:rsidR="002E0CAE" w:rsidRPr="002E0CAE">
              <w:rPr>
                <w:rFonts w:hint="eastAsia"/>
                <w:b/>
                <w:bCs/>
                <w:color w:val="EE0000"/>
              </w:rPr>
              <w:t>判断に迷う場合は</w:t>
            </w:r>
            <w:r>
              <w:rPr>
                <w:rFonts w:hint="eastAsia"/>
              </w:rPr>
              <w:t>、FPなど商品販売とは切り離した第三者から客観的なアドバイスをもらうのも</w:t>
            </w:r>
            <w:r w:rsidR="00F34087">
              <w:rPr>
                <w:rFonts w:hint="eastAsia"/>
              </w:rPr>
              <w:t>良いでしょう</w:t>
            </w:r>
            <w:r>
              <w:rPr>
                <w:rFonts w:hint="eastAsia"/>
              </w:rPr>
              <w:t>。</w:t>
            </w:r>
          </w:p>
        </w:tc>
      </w:tr>
      <w:tr w:rsidR="004333B2" w:rsidRPr="004333B2" w14:paraId="43F6A8BC" w14:textId="77777777" w:rsidTr="0032384A">
        <w:tc>
          <w:tcPr>
            <w:tcW w:w="1701" w:type="dxa"/>
            <w:tcMar>
              <w:top w:w="180" w:type="dxa"/>
              <w:left w:w="0" w:type="dxa"/>
              <w:bottom w:w="180" w:type="dxa"/>
              <w:right w:w="240" w:type="dxa"/>
            </w:tcMar>
            <w:hideMark/>
          </w:tcPr>
          <w:p w14:paraId="0B96C119" w14:textId="77777777" w:rsidR="004333B2" w:rsidRPr="004333B2" w:rsidRDefault="004333B2" w:rsidP="004333B2">
            <w:r w:rsidRPr="004333B2">
              <w:rPr>
                <w:b/>
                <w:bCs/>
              </w:rPr>
              <w:lastRenderedPageBreak/>
              <w:t>Check（評価）</w:t>
            </w:r>
          </w:p>
        </w:tc>
        <w:tc>
          <w:tcPr>
            <w:tcW w:w="6799" w:type="dxa"/>
            <w:tcMar>
              <w:top w:w="180" w:type="dxa"/>
              <w:left w:w="0" w:type="dxa"/>
              <w:bottom w:w="180" w:type="dxa"/>
              <w:right w:w="0" w:type="dxa"/>
            </w:tcMar>
            <w:hideMark/>
          </w:tcPr>
          <w:p w14:paraId="4730C68B" w14:textId="77777777" w:rsidR="007C747E" w:rsidRDefault="004333B2" w:rsidP="004333B2">
            <w:pPr>
              <w:rPr>
                <w:b/>
                <w:bCs/>
              </w:rPr>
            </w:pPr>
            <w:r w:rsidRPr="004333B2">
              <w:rPr>
                <w:b/>
                <w:bCs/>
              </w:rPr>
              <w:t>定期的な乖離分析</w:t>
            </w:r>
          </w:p>
          <w:p w14:paraId="5B807310" w14:textId="77777777" w:rsidR="004333B2" w:rsidRDefault="004333B2" w:rsidP="004333B2">
            <w:r w:rsidRPr="004333B2">
              <w:t>3ヶ月〜半年ごとに資産推移</w:t>
            </w:r>
            <w:r w:rsidR="007C747E">
              <w:rPr>
                <w:rFonts w:hint="eastAsia"/>
              </w:rPr>
              <w:t>やキャッシュフロー</w:t>
            </w:r>
            <w:r w:rsidRPr="004333B2">
              <w:t>を確認します。当初の計画に対し</w:t>
            </w:r>
            <w:r w:rsidR="007C747E">
              <w:rPr>
                <w:rFonts w:hint="eastAsia"/>
              </w:rPr>
              <w:t>て</w:t>
            </w:r>
            <w:r w:rsidRPr="004333B2">
              <w:t>、実績がどうであったかを評価します。</w:t>
            </w:r>
          </w:p>
          <w:p w14:paraId="317A82BF" w14:textId="4256BFCE" w:rsidR="00A93119" w:rsidRPr="00A93119" w:rsidRDefault="00A93119" w:rsidP="00A93119">
            <w:pPr>
              <w:rPr>
                <w:b/>
                <w:bCs/>
              </w:rPr>
            </w:pPr>
            <w:r w:rsidRPr="00A93119">
              <w:rPr>
                <w:rFonts w:hint="eastAsia"/>
                <w:b/>
                <w:bCs/>
                <w:color w:val="EE0000"/>
              </w:rPr>
              <w:t>※市場変動に一喜一憂する必要はありません</w:t>
            </w:r>
            <w:r w:rsidR="00145F5A">
              <w:rPr>
                <w:rFonts w:hint="eastAsia"/>
                <w:b/>
                <w:bCs/>
                <w:color w:val="EE0000"/>
              </w:rPr>
              <w:t>。</w:t>
            </w:r>
          </w:p>
        </w:tc>
      </w:tr>
      <w:tr w:rsidR="004333B2" w:rsidRPr="004333B2" w14:paraId="09162F59" w14:textId="77777777" w:rsidTr="0032384A">
        <w:tc>
          <w:tcPr>
            <w:tcW w:w="1701" w:type="dxa"/>
            <w:tcMar>
              <w:top w:w="180" w:type="dxa"/>
              <w:left w:w="0" w:type="dxa"/>
              <w:bottom w:w="180" w:type="dxa"/>
              <w:right w:w="240" w:type="dxa"/>
            </w:tcMar>
            <w:hideMark/>
          </w:tcPr>
          <w:p w14:paraId="68B41BD8" w14:textId="77777777" w:rsidR="004333B2" w:rsidRPr="004333B2" w:rsidRDefault="004333B2" w:rsidP="004333B2">
            <w:r w:rsidRPr="004333B2">
              <w:rPr>
                <w:b/>
                <w:bCs/>
              </w:rPr>
              <w:t>Action（改善）</w:t>
            </w:r>
          </w:p>
        </w:tc>
        <w:tc>
          <w:tcPr>
            <w:tcW w:w="6799" w:type="dxa"/>
            <w:tcMar>
              <w:top w:w="180" w:type="dxa"/>
              <w:left w:w="0" w:type="dxa"/>
              <w:bottom w:w="180" w:type="dxa"/>
              <w:right w:w="0" w:type="dxa"/>
            </w:tcMar>
            <w:hideMark/>
          </w:tcPr>
          <w:p w14:paraId="510CDC7D" w14:textId="77777777" w:rsidR="007C747E" w:rsidRDefault="004333B2" w:rsidP="004333B2">
            <w:pPr>
              <w:rPr>
                <w:b/>
                <w:bCs/>
              </w:rPr>
            </w:pPr>
            <w:r w:rsidRPr="004333B2">
              <w:rPr>
                <w:b/>
                <w:bCs/>
              </w:rPr>
              <w:t>支出の最適化と戦略修正</w:t>
            </w:r>
          </w:p>
          <w:p w14:paraId="609D2EB8" w14:textId="7B7BA9CC" w:rsidR="004333B2" w:rsidRPr="004333B2" w:rsidRDefault="004333B2" w:rsidP="004333B2">
            <w:r w:rsidRPr="004333B2">
              <w:t>固定費の</w:t>
            </w:r>
            <w:r w:rsidR="007C747E">
              <w:rPr>
                <w:rFonts w:hint="eastAsia"/>
              </w:rPr>
              <w:t>見直し</w:t>
            </w:r>
            <w:r w:rsidRPr="004333B2">
              <w:t>や、ふるさと納税</w:t>
            </w:r>
            <w:r w:rsidR="007C747E">
              <w:rPr>
                <w:rFonts w:hint="eastAsia"/>
              </w:rPr>
              <w:t>などの所得控除</w:t>
            </w:r>
            <w:r w:rsidRPr="004333B2">
              <w:t>の活用による「節税</w:t>
            </w:r>
            <w:r w:rsidR="007C747E">
              <w:rPr>
                <w:rFonts w:hint="eastAsia"/>
              </w:rPr>
              <w:t>効果</w:t>
            </w:r>
            <w:r w:rsidRPr="004333B2">
              <w:t>」</w:t>
            </w:r>
            <w:r w:rsidR="007C747E">
              <w:rPr>
                <w:rFonts w:hint="eastAsia"/>
              </w:rPr>
              <w:t>の見直しを行い</w:t>
            </w:r>
            <w:r w:rsidRPr="004333B2">
              <w:t>、</w:t>
            </w:r>
            <w:r w:rsidR="001A214A">
              <w:rPr>
                <w:rFonts w:hint="eastAsia"/>
              </w:rPr>
              <w:t>キャッシュフロー戦略の再構築を行います。</w:t>
            </w:r>
          </w:p>
        </w:tc>
      </w:tr>
    </w:tbl>
    <w:p w14:paraId="33232F64" w14:textId="6989885A" w:rsidR="004333B2" w:rsidRPr="004333B2" w:rsidRDefault="001A214A" w:rsidP="004333B2">
      <w:pPr>
        <w:rPr>
          <w:b/>
          <w:bCs/>
        </w:rPr>
      </w:pPr>
      <w:r>
        <w:rPr>
          <w:rFonts w:hint="eastAsia"/>
          <w:b/>
          <w:bCs/>
        </w:rPr>
        <w:t>③</w:t>
      </w:r>
      <w:r w:rsidR="004333B2" w:rsidRPr="004333B2">
        <w:rPr>
          <w:b/>
          <w:bCs/>
        </w:rPr>
        <w:t>勤務医特有のポイント</w:t>
      </w:r>
    </w:p>
    <w:p w14:paraId="00170F1F" w14:textId="77777777" w:rsidR="001A214A" w:rsidRPr="001A214A" w:rsidRDefault="001A214A" w:rsidP="001A214A">
      <w:pPr>
        <w:pStyle w:val="a9"/>
        <w:numPr>
          <w:ilvl w:val="0"/>
          <w:numId w:val="6"/>
        </w:numPr>
        <w:snapToGrid w:val="0"/>
        <w:ind w:left="993" w:hanging="709"/>
        <w:contextualSpacing w:val="0"/>
      </w:pPr>
      <w:r>
        <w:rPr>
          <w:rFonts w:hint="eastAsia"/>
          <w:b/>
          <w:bCs/>
        </w:rPr>
        <w:t xml:space="preserve">　</w:t>
      </w:r>
      <w:r w:rsidR="004333B2" w:rsidRPr="001A214A">
        <w:rPr>
          <w:b/>
          <w:bCs/>
        </w:rPr>
        <w:t>節税の徹底</w:t>
      </w:r>
    </w:p>
    <w:p w14:paraId="67DDE2CC" w14:textId="0E9127E8" w:rsidR="004333B2" w:rsidRPr="004333B2" w:rsidRDefault="004333B2" w:rsidP="001A214A">
      <w:pPr>
        <w:pStyle w:val="a9"/>
        <w:snapToGrid w:val="0"/>
        <w:ind w:left="709"/>
        <w:contextualSpacing w:val="0"/>
      </w:pPr>
      <w:r w:rsidRPr="004333B2">
        <w:t>勤務医は給与所得控除に上限があるため、</w:t>
      </w:r>
      <w:proofErr w:type="spellStart"/>
      <w:r w:rsidRPr="004333B2">
        <w:t>iDeCo</w:t>
      </w:r>
      <w:proofErr w:type="spellEnd"/>
      <w:r w:rsidRPr="004333B2">
        <w:t>やふるさと納税</w:t>
      </w:r>
      <w:r w:rsidR="001A214A">
        <w:rPr>
          <w:rFonts w:hint="eastAsia"/>
        </w:rPr>
        <w:t>などの</w:t>
      </w:r>
      <w:r w:rsidRPr="004333B2">
        <w:t>所得控除の活用は必須</w:t>
      </w:r>
      <w:r w:rsidR="001A214A">
        <w:rPr>
          <w:rFonts w:hint="eastAsia"/>
        </w:rPr>
        <w:t>です</w:t>
      </w:r>
      <w:r w:rsidRPr="004333B2">
        <w:t>。</w:t>
      </w:r>
    </w:p>
    <w:p w14:paraId="77D2907F" w14:textId="77777777" w:rsidR="001A214A" w:rsidRPr="001A214A" w:rsidRDefault="001A214A" w:rsidP="001A214A">
      <w:pPr>
        <w:pStyle w:val="a9"/>
        <w:numPr>
          <w:ilvl w:val="0"/>
          <w:numId w:val="6"/>
        </w:numPr>
        <w:ind w:hanging="873"/>
      </w:pPr>
      <w:r>
        <w:rPr>
          <w:rFonts w:hint="eastAsia"/>
          <w:b/>
          <w:bCs/>
        </w:rPr>
        <w:t xml:space="preserve">　</w:t>
      </w:r>
      <w:r w:rsidR="004333B2" w:rsidRPr="001A214A">
        <w:rPr>
          <w:b/>
          <w:bCs/>
        </w:rPr>
        <w:t>資産管理会社の検討</w:t>
      </w:r>
    </w:p>
    <w:p w14:paraId="008A1FB0" w14:textId="67423797" w:rsidR="004333B2" w:rsidRDefault="004333B2" w:rsidP="001A214A">
      <w:pPr>
        <w:pStyle w:val="a9"/>
        <w:ind w:left="709"/>
      </w:pPr>
      <w:r w:rsidRPr="004333B2">
        <w:t>高所得の場合は、プライベートカンパニーを設立して家族への給与支払いや経費計上を行う手法も、長期的なPDCAの選択肢に入ります。</w:t>
      </w:r>
    </w:p>
    <w:p w14:paraId="4708D511" w14:textId="77777777" w:rsidR="00FA6911" w:rsidRDefault="00FA6911" w:rsidP="00FA6911">
      <w:pPr>
        <w:pStyle w:val="a9"/>
        <w:ind w:left="0"/>
      </w:pPr>
    </w:p>
    <w:p w14:paraId="7EBB354D" w14:textId="77777777" w:rsidR="0011340D" w:rsidRPr="0011340D" w:rsidRDefault="0011340D" w:rsidP="0011340D">
      <w:pPr>
        <w:pStyle w:val="a9"/>
        <w:ind w:left="0"/>
        <w:rPr>
          <w:b/>
          <w:bCs/>
          <w:color w:val="EE0000"/>
        </w:rPr>
      </w:pPr>
      <w:r w:rsidRPr="0011340D">
        <w:rPr>
          <w:b/>
          <w:bCs/>
          <w:color w:val="EE0000"/>
        </w:rPr>
        <w:t>本ページは一般的な考え方の紹介を目的としたものであり、特定の制度や商品を推奨するものではありません。</w:t>
      </w:r>
    </w:p>
    <w:p w14:paraId="7A085FAC" w14:textId="77777777" w:rsidR="00FA6911" w:rsidRPr="0011340D" w:rsidRDefault="00FA6911" w:rsidP="00FA6911">
      <w:pPr>
        <w:pStyle w:val="a9"/>
        <w:ind w:left="0"/>
      </w:pPr>
    </w:p>
    <w:sectPr w:rsidR="00FA6911" w:rsidRPr="001134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5E97" w14:textId="77777777" w:rsidR="003846F0" w:rsidRDefault="003846F0" w:rsidP="00B40645">
      <w:r>
        <w:separator/>
      </w:r>
    </w:p>
  </w:endnote>
  <w:endnote w:type="continuationSeparator" w:id="0">
    <w:p w14:paraId="5368084C" w14:textId="77777777" w:rsidR="003846F0" w:rsidRDefault="003846F0" w:rsidP="00B4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186C" w14:textId="77777777" w:rsidR="003846F0" w:rsidRDefault="003846F0" w:rsidP="00B40645">
      <w:r>
        <w:separator/>
      </w:r>
    </w:p>
  </w:footnote>
  <w:footnote w:type="continuationSeparator" w:id="0">
    <w:p w14:paraId="6325029A" w14:textId="77777777" w:rsidR="003846F0" w:rsidRDefault="003846F0" w:rsidP="00B40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E3D"/>
    <w:multiLevelType w:val="hybridMultilevel"/>
    <w:tmpl w:val="14A09BAE"/>
    <w:lvl w:ilvl="0" w:tplc="01E4CAE0">
      <w:start w:val="1"/>
      <w:numFmt w:val="bullet"/>
      <w:suff w:val="nothing"/>
      <w:lvlText w:val=""/>
      <w:lvlJc w:val="left"/>
      <w:pPr>
        <w:ind w:left="797" w:hanging="440"/>
      </w:pPr>
      <w:rPr>
        <w:rFonts w:ascii="Wingdings" w:hAnsi="Wingdings" w:hint="default"/>
      </w:rPr>
    </w:lvl>
    <w:lvl w:ilvl="1" w:tplc="FFFFFFFF" w:tentative="1">
      <w:start w:val="1"/>
      <w:numFmt w:val="bullet"/>
      <w:lvlText w:val=""/>
      <w:lvlJc w:val="left"/>
      <w:pPr>
        <w:ind w:left="1237" w:hanging="440"/>
      </w:pPr>
      <w:rPr>
        <w:rFonts w:ascii="Wingdings" w:hAnsi="Wingdings" w:hint="default"/>
      </w:rPr>
    </w:lvl>
    <w:lvl w:ilvl="2" w:tplc="FFFFFFFF" w:tentative="1">
      <w:start w:val="1"/>
      <w:numFmt w:val="bullet"/>
      <w:lvlText w:val=""/>
      <w:lvlJc w:val="left"/>
      <w:pPr>
        <w:ind w:left="1677" w:hanging="440"/>
      </w:pPr>
      <w:rPr>
        <w:rFonts w:ascii="Wingdings" w:hAnsi="Wingdings" w:hint="default"/>
      </w:rPr>
    </w:lvl>
    <w:lvl w:ilvl="3" w:tplc="FFFFFFFF" w:tentative="1">
      <w:start w:val="1"/>
      <w:numFmt w:val="bullet"/>
      <w:lvlText w:val=""/>
      <w:lvlJc w:val="left"/>
      <w:pPr>
        <w:ind w:left="2117" w:hanging="440"/>
      </w:pPr>
      <w:rPr>
        <w:rFonts w:ascii="Wingdings" w:hAnsi="Wingdings" w:hint="default"/>
      </w:rPr>
    </w:lvl>
    <w:lvl w:ilvl="4" w:tplc="FFFFFFFF" w:tentative="1">
      <w:start w:val="1"/>
      <w:numFmt w:val="bullet"/>
      <w:lvlText w:val=""/>
      <w:lvlJc w:val="left"/>
      <w:pPr>
        <w:ind w:left="2557" w:hanging="440"/>
      </w:pPr>
      <w:rPr>
        <w:rFonts w:ascii="Wingdings" w:hAnsi="Wingdings" w:hint="default"/>
      </w:rPr>
    </w:lvl>
    <w:lvl w:ilvl="5" w:tplc="FFFFFFFF" w:tentative="1">
      <w:start w:val="1"/>
      <w:numFmt w:val="bullet"/>
      <w:lvlText w:val=""/>
      <w:lvlJc w:val="left"/>
      <w:pPr>
        <w:ind w:left="2997" w:hanging="440"/>
      </w:pPr>
      <w:rPr>
        <w:rFonts w:ascii="Wingdings" w:hAnsi="Wingdings" w:hint="default"/>
      </w:rPr>
    </w:lvl>
    <w:lvl w:ilvl="6" w:tplc="FFFFFFFF" w:tentative="1">
      <w:start w:val="1"/>
      <w:numFmt w:val="bullet"/>
      <w:lvlText w:val=""/>
      <w:lvlJc w:val="left"/>
      <w:pPr>
        <w:ind w:left="3437" w:hanging="440"/>
      </w:pPr>
      <w:rPr>
        <w:rFonts w:ascii="Wingdings" w:hAnsi="Wingdings" w:hint="default"/>
      </w:rPr>
    </w:lvl>
    <w:lvl w:ilvl="7" w:tplc="FFFFFFFF" w:tentative="1">
      <w:start w:val="1"/>
      <w:numFmt w:val="bullet"/>
      <w:lvlText w:val=""/>
      <w:lvlJc w:val="left"/>
      <w:pPr>
        <w:ind w:left="3877" w:hanging="440"/>
      </w:pPr>
      <w:rPr>
        <w:rFonts w:ascii="Wingdings" w:hAnsi="Wingdings" w:hint="default"/>
      </w:rPr>
    </w:lvl>
    <w:lvl w:ilvl="8" w:tplc="FFFFFFFF" w:tentative="1">
      <w:start w:val="1"/>
      <w:numFmt w:val="bullet"/>
      <w:lvlText w:val=""/>
      <w:lvlJc w:val="left"/>
      <w:pPr>
        <w:ind w:left="4317" w:hanging="440"/>
      </w:pPr>
      <w:rPr>
        <w:rFonts w:ascii="Wingdings" w:hAnsi="Wingdings" w:hint="default"/>
      </w:rPr>
    </w:lvl>
  </w:abstractNum>
  <w:abstractNum w:abstractNumId="1" w15:restartNumberingAfterBreak="0">
    <w:nsid w:val="126C78C4"/>
    <w:multiLevelType w:val="multilevel"/>
    <w:tmpl w:val="704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25421"/>
    <w:multiLevelType w:val="hybridMultilevel"/>
    <w:tmpl w:val="860C1608"/>
    <w:lvl w:ilvl="0" w:tplc="04090001">
      <w:start w:val="1"/>
      <w:numFmt w:val="bullet"/>
      <w:lvlText w:val=""/>
      <w:lvlJc w:val="left"/>
      <w:pPr>
        <w:ind w:left="797" w:hanging="440"/>
      </w:pPr>
      <w:rPr>
        <w:rFonts w:ascii="Wingdings" w:hAnsi="Wingdings" w:hint="default"/>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 w15:restartNumberingAfterBreak="0">
    <w:nsid w:val="2EF80DD8"/>
    <w:multiLevelType w:val="hybridMultilevel"/>
    <w:tmpl w:val="CE66DDA2"/>
    <w:lvl w:ilvl="0" w:tplc="F9F0010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42681E"/>
    <w:multiLevelType w:val="hybridMultilevel"/>
    <w:tmpl w:val="4622F9E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7DE0453"/>
    <w:multiLevelType w:val="hybridMultilevel"/>
    <w:tmpl w:val="7F984D58"/>
    <w:lvl w:ilvl="0" w:tplc="01E4CAE0">
      <w:start w:val="1"/>
      <w:numFmt w:val="bullet"/>
      <w:suff w:val="nothing"/>
      <w:lvlText w:val=""/>
      <w:lvlJc w:val="left"/>
      <w:pPr>
        <w:ind w:left="1157"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6" w15:restartNumberingAfterBreak="0">
    <w:nsid w:val="63B972ED"/>
    <w:multiLevelType w:val="multilevel"/>
    <w:tmpl w:val="A19C7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52311">
    <w:abstractNumId w:val="6"/>
  </w:num>
  <w:num w:numId="2" w16cid:durableId="1732000980">
    <w:abstractNumId w:val="1"/>
  </w:num>
  <w:num w:numId="3" w16cid:durableId="899171933">
    <w:abstractNumId w:val="4"/>
  </w:num>
  <w:num w:numId="4" w16cid:durableId="590282962">
    <w:abstractNumId w:val="2"/>
  </w:num>
  <w:num w:numId="5" w16cid:durableId="1095201899">
    <w:abstractNumId w:val="0"/>
  </w:num>
  <w:num w:numId="6" w16cid:durableId="1334455019">
    <w:abstractNumId w:val="5"/>
  </w:num>
  <w:num w:numId="7" w16cid:durableId="145243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2"/>
    <w:rsid w:val="0001283E"/>
    <w:rsid w:val="00020B86"/>
    <w:rsid w:val="00023E53"/>
    <w:rsid w:val="00024152"/>
    <w:rsid w:val="00030B9D"/>
    <w:rsid w:val="0003344A"/>
    <w:rsid w:val="00035347"/>
    <w:rsid w:val="00035635"/>
    <w:rsid w:val="00036362"/>
    <w:rsid w:val="000368F5"/>
    <w:rsid w:val="000375CA"/>
    <w:rsid w:val="000422B4"/>
    <w:rsid w:val="00053061"/>
    <w:rsid w:val="00053D20"/>
    <w:rsid w:val="000541CE"/>
    <w:rsid w:val="000564FC"/>
    <w:rsid w:val="00060BCC"/>
    <w:rsid w:val="00071B6D"/>
    <w:rsid w:val="000763BC"/>
    <w:rsid w:val="000A7F69"/>
    <w:rsid w:val="000C2640"/>
    <w:rsid w:val="000D1A5E"/>
    <w:rsid w:val="000D212A"/>
    <w:rsid w:val="000D2E69"/>
    <w:rsid w:val="000E2D4A"/>
    <w:rsid w:val="000F0365"/>
    <w:rsid w:val="000F2B91"/>
    <w:rsid w:val="00102A07"/>
    <w:rsid w:val="00112FA6"/>
    <w:rsid w:val="0011340D"/>
    <w:rsid w:val="00122F94"/>
    <w:rsid w:val="00125C9D"/>
    <w:rsid w:val="00140FCF"/>
    <w:rsid w:val="00145F5A"/>
    <w:rsid w:val="001518AF"/>
    <w:rsid w:val="001550FB"/>
    <w:rsid w:val="001557A5"/>
    <w:rsid w:val="00167513"/>
    <w:rsid w:val="00174F96"/>
    <w:rsid w:val="00177004"/>
    <w:rsid w:val="001801EC"/>
    <w:rsid w:val="001819EF"/>
    <w:rsid w:val="00192937"/>
    <w:rsid w:val="001A214A"/>
    <w:rsid w:val="001B4EB4"/>
    <w:rsid w:val="001B5234"/>
    <w:rsid w:val="001B5EB1"/>
    <w:rsid w:val="001B7817"/>
    <w:rsid w:val="001B786B"/>
    <w:rsid w:val="001B7BCB"/>
    <w:rsid w:val="001C068A"/>
    <w:rsid w:val="001C0FF0"/>
    <w:rsid w:val="001C264B"/>
    <w:rsid w:val="001C3B87"/>
    <w:rsid w:val="001E0213"/>
    <w:rsid w:val="001E1ECA"/>
    <w:rsid w:val="001E4AB0"/>
    <w:rsid w:val="001E5546"/>
    <w:rsid w:val="001E6D30"/>
    <w:rsid w:val="001F19A6"/>
    <w:rsid w:val="001F6FD2"/>
    <w:rsid w:val="0020504F"/>
    <w:rsid w:val="002050D9"/>
    <w:rsid w:val="00207285"/>
    <w:rsid w:val="00207DC7"/>
    <w:rsid w:val="002142AF"/>
    <w:rsid w:val="00215187"/>
    <w:rsid w:val="00217807"/>
    <w:rsid w:val="00220BB1"/>
    <w:rsid w:val="0023138C"/>
    <w:rsid w:val="00232FE2"/>
    <w:rsid w:val="002334DB"/>
    <w:rsid w:val="00235BC4"/>
    <w:rsid w:val="00237001"/>
    <w:rsid w:val="002419B7"/>
    <w:rsid w:val="00244CE3"/>
    <w:rsid w:val="00246E01"/>
    <w:rsid w:val="00256B74"/>
    <w:rsid w:val="00261682"/>
    <w:rsid w:val="00265D7D"/>
    <w:rsid w:val="002668C8"/>
    <w:rsid w:val="00271AD5"/>
    <w:rsid w:val="00273FB2"/>
    <w:rsid w:val="00285808"/>
    <w:rsid w:val="0028611B"/>
    <w:rsid w:val="00296B86"/>
    <w:rsid w:val="002A4099"/>
    <w:rsid w:val="002A6A7C"/>
    <w:rsid w:val="002B30C9"/>
    <w:rsid w:val="002B5C5F"/>
    <w:rsid w:val="002C0F9A"/>
    <w:rsid w:val="002C616A"/>
    <w:rsid w:val="002D0073"/>
    <w:rsid w:val="002D1D2A"/>
    <w:rsid w:val="002D6CF0"/>
    <w:rsid w:val="002D7DBC"/>
    <w:rsid w:val="002E051B"/>
    <w:rsid w:val="002E0CAE"/>
    <w:rsid w:val="002E345A"/>
    <w:rsid w:val="002E3B94"/>
    <w:rsid w:val="002F22CB"/>
    <w:rsid w:val="002F7039"/>
    <w:rsid w:val="0030390C"/>
    <w:rsid w:val="00305E11"/>
    <w:rsid w:val="00315E43"/>
    <w:rsid w:val="00316438"/>
    <w:rsid w:val="00316DE3"/>
    <w:rsid w:val="003206DD"/>
    <w:rsid w:val="00321793"/>
    <w:rsid w:val="0032205D"/>
    <w:rsid w:val="0032384A"/>
    <w:rsid w:val="003337E0"/>
    <w:rsid w:val="00334D21"/>
    <w:rsid w:val="00341AF8"/>
    <w:rsid w:val="00342CA8"/>
    <w:rsid w:val="00342D6A"/>
    <w:rsid w:val="00346A8B"/>
    <w:rsid w:val="00355153"/>
    <w:rsid w:val="00360E93"/>
    <w:rsid w:val="0036262D"/>
    <w:rsid w:val="003648CE"/>
    <w:rsid w:val="00374BB8"/>
    <w:rsid w:val="003833ED"/>
    <w:rsid w:val="003846F0"/>
    <w:rsid w:val="00391C2A"/>
    <w:rsid w:val="0039247C"/>
    <w:rsid w:val="00393423"/>
    <w:rsid w:val="003A35AE"/>
    <w:rsid w:val="003A515A"/>
    <w:rsid w:val="003B1357"/>
    <w:rsid w:val="003B6723"/>
    <w:rsid w:val="003B6A5C"/>
    <w:rsid w:val="003C7ADB"/>
    <w:rsid w:val="003D2C79"/>
    <w:rsid w:val="003D4AD1"/>
    <w:rsid w:val="003D7925"/>
    <w:rsid w:val="003E1A02"/>
    <w:rsid w:val="003E4711"/>
    <w:rsid w:val="003E4B05"/>
    <w:rsid w:val="003F4407"/>
    <w:rsid w:val="003F622A"/>
    <w:rsid w:val="00401AC3"/>
    <w:rsid w:val="00401DBE"/>
    <w:rsid w:val="00403FD5"/>
    <w:rsid w:val="00406F0C"/>
    <w:rsid w:val="00410703"/>
    <w:rsid w:val="004148F3"/>
    <w:rsid w:val="00423409"/>
    <w:rsid w:val="00427D1D"/>
    <w:rsid w:val="004333B2"/>
    <w:rsid w:val="00433ADD"/>
    <w:rsid w:val="00443F71"/>
    <w:rsid w:val="004452A8"/>
    <w:rsid w:val="00451224"/>
    <w:rsid w:val="00457F98"/>
    <w:rsid w:val="00464DBD"/>
    <w:rsid w:val="00466296"/>
    <w:rsid w:val="00466854"/>
    <w:rsid w:val="00471BDB"/>
    <w:rsid w:val="0047413E"/>
    <w:rsid w:val="0048063B"/>
    <w:rsid w:val="004810A4"/>
    <w:rsid w:val="00481E02"/>
    <w:rsid w:val="00483B87"/>
    <w:rsid w:val="0048510D"/>
    <w:rsid w:val="00490E1C"/>
    <w:rsid w:val="004A1548"/>
    <w:rsid w:val="004A7CF2"/>
    <w:rsid w:val="004B15B5"/>
    <w:rsid w:val="004B6CC6"/>
    <w:rsid w:val="004C0A02"/>
    <w:rsid w:val="004C0F3B"/>
    <w:rsid w:val="004C35B5"/>
    <w:rsid w:val="004D2296"/>
    <w:rsid w:val="004E14ED"/>
    <w:rsid w:val="004F375F"/>
    <w:rsid w:val="004F53D8"/>
    <w:rsid w:val="004F5599"/>
    <w:rsid w:val="00505607"/>
    <w:rsid w:val="00505645"/>
    <w:rsid w:val="00506EA6"/>
    <w:rsid w:val="00512147"/>
    <w:rsid w:val="005132D2"/>
    <w:rsid w:val="00515919"/>
    <w:rsid w:val="00523A08"/>
    <w:rsid w:val="00525E74"/>
    <w:rsid w:val="00530257"/>
    <w:rsid w:val="005350A3"/>
    <w:rsid w:val="00540B2C"/>
    <w:rsid w:val="00540FF7"/>
    <w:rsid w:val="00542816"/>
    <w:rsid w:val="00554265"/>
    <w:rsid w:val="0055448A"/>
    <w:rsid w:val="00555FFA"/>
    <w:rsid w:val="00567EC7"/>
    <w:rsid w:val="00570BB8"/>
    <w:rsid w:val="00572C47"/>
    <w:rsid w:val="00572F9F"/>
    <w:rsid w:val="00583C8C"/>
    <w:rsid w:val="0058723B"/>
    <w:rsid w:val="0059431E"/>
    <w:rsid w:val="00594F22"/>
    <w:rsid w:val="005951CA"/>
    <w:rsid w:val="005A4377"/>
    <w:rsid w:val="005B18CF"/>
    <w:rsid w:val="005B2BE1"/>
    <w:rsid w:val="005C7A6D"/>
    <w:rsid w:val="005E4FEF"/>
    <w:rsid w:val="005E5888"/>
    <w:rsid w:val="005F036E"/>
    <w:rsid w:val="005F751B"/>
    <w:rsid w:val="00600C33"/>
    <w:rsid w:val="0060281E"/>
    <w:rsid w:val="00606B33"/>
    <w:rsid w:val="00611569"/>
    <w:rsid w:val="00616D0F"/>
    <w:rsid w:val="00622D1B"/>
    <w:rsid w:val="0062541E"/>
    <w:rsid w:val="00647151"/>
    <w:rsid w:val="00653D54"/>
    <w:rsid w:val="006549BC"/>
    <w:rsid w:val="0066139D"/>
    <w:rsid w:val="00670E52"/>
    <w:rsid w:val="006713DC"/>
    <w:rsid w:val="00674BFE"/>
    <w:rsid w:val="006755F4"/>
    <w:rsid w:val="006757ED"/>
    <w:rsid w:val="006840B4"/>
    <w:rsid w:val="0069476C"/>
    <w:rsid w:val="006A017D"/>
    <w:rsid w:val="006A1454"/>
    <w:rsid w:val="006A6FDC"/>
    <w:rsid w:val="006A708E"/>
    <w:rsid w:val="006C07D6"/>
    <w:rsid w:val="006C18D8"/>
    <w:rsid w:val="006D17E0"/>
    <w:rsid w:val="006E1CAE"/>
    <w:rsid w:val="006E4694"/>
    <w:rsid w:val="006E5C58"/>
    <w:rsid w:val="006F4907"/>
    <w:rsid w:val="0070170A"/>
    <w:rsid w:val="00703734"/>
    <w:rsid w:val="00705B99"/>
    <w:rsid w:val="00713140"/>
    <w:rsid w:val="00723AC0"/>
    <w:rsid w:val="007259EA"/>
    <w:rsid w:val="00725BAD"/>
    <w:rsid w:val="00740BA4"/>
    <w:rsid w:val="00752464"/>
    <w:rsid w:val="007546F2"/>
    <w:rsid w:val="00761558"/>
    <w:rsid w:val="007618BE"/>
    <w:rsid w:val="007656C0"/>
    <w:rsid w:val="007708F0"/>
    <w:rsid w:val="00777C64"/>
    <w:rsid w:val="00783236"/>
    <w:rsid w:val="007915DC"/>
    <w:rsid w:val="00793468"/>
    <w:rsid w:val="00795A04"/>
    <w:rsid w:val="0079744F"/>
    <w:rsid w:val="007A13F4"/>
    <w:rsid w:val="007B20D6"/>
    <w:rsid w:val="007B28F5"/>
    <w:rsid w:val="007B4458"/>
    <w:rsid w:val="007B75FE"/>
    <w:rsid w:val="007C0154"/>
    <w:rsid w:val="007C0850"/>
    <w:rsid w:val="007C747E"/>
    <w:rsid w:val="007C7647"/>
    <w:rsid w:val="007D0D02"/>
    <w:rsid w:val="007D0DCA"/>
    <w:rsid w:val="007E0318"/>
    <w:rsid w:val="007E0395"/>
    <w:rsid w:val="007E07AF"/>
    <w:rsid w:val="007E2619"/>
    <w:rsid w:val="007E60BC"/>
    <w:rsid w:val="007F25A6"/>
    <w:rsid w:val="00811B0B"/>
    <w:rsid w:val="00811D63"/>
    <w:rsid w:val="00812242"/>
    <w:rsid w:val="00813A2F"/>
    <w:rsid w:val="00823B91"/>
    <w:rsid w:val="00826D66"/>
    <w:rsid w:val="008342C4"/>
    <w:rsid w:val="008345C2"/>
    <w:rsid w:val="00835B85"/>
    <w:rsid w:val="00856F9F"/>
    <w:rsid w:val="00863EAE"/>
    <w:rsid w:val="00864193"/>
    <w:rsid w:val="00865085"/>
    <w:rsid w:val="0086531B"/>
    <w:rsid w:val="00866BB4"/>
    <w:rsid w:val="0086790C"/>
    <w:rsid w:val="008710D7"/>
    <w:rsid w:val="00872F6D"/>
    <w:rsid w:val="0088675D"/>
    <w:rsid w:val="00896519"/>
    <w:rsid w:val="008A223E"/>
    <w:rsid w:val="008A6495"/>
    <w:rsid w:val="008B1605"/>
    <w:rsid w:val="008C43C4"/>
    <w:rsid w:val="008C538C"/>
    <w:rsid w:val="008C7841"/>
    <w:rsid w:val="008D030D"/>
    <w:rsid w:val="008D73B3"/>
    <w:rsid w:val="008E2FDF"/>
    <w:rsid w:val="008E38CC"/>
    <w:rsid w:val="008F1317"/>
    <w:rsid w:val="0090288A"/>
    <w:rsid w:val="00906E29"/>
    <w:rsid w:val="00910364"/>
    <w:rsid w:val="009107A1"/>
    <w:rsid w:val="0091099D"/>
    <w:rsid w:val="009149A6"/>
    <w:rsid w:val="00915F1D"/>
    <w:rsid w:val="00917740"/>
    <w:rsid w:val="00924457"/>
    <w:rsid w:val="00930087"/>
    <w:rsid w:val="0093174E"/>
    <w:rsid w:val="009325D6"/>
    <w:rsid w:val="00933DEC"/>
    <w:rsid w:val="00934331"/>
    <w:rsid w:val="00940D6C"/>
    <w:rsid w:val="00942AC9"/>
    <w:rsid w:val="009454E1"/>
    <w:rsid w:val="00952BC7"/>
    <w:rsid w:val="00953D58"/>
    <w:rsid w:val="00956F81"/>
    <w:rsid w:val="0096381C"/>
    <w:rsid w:val="009723EC"/>
    <w:rsid w:val="00974754"/>
    <w:rsid w:val="00976202"/>
    <w:rsid w:val="00977075"/>
    <w:rsid w:val="0098285F"/>
    <w:rsid w:val="009859BA"/>
    <w:rsid w:val="0098739A"/>
    <w:rsid w:val="009A3E96"/>
    <w:rsid w:val="009A463E"/>
    <w:rsid w:val="009B2882"/>
    <w:rsid w:val="009B2A17"/>
    <w:rsid w:val="009B429E"/>
    <w:rsid w:val="009B7CF3"/>
    <w:rsid w:val="009C7BE2"/>
    <w:rsid w:val="009D33B1"/>
    <w:rsid w:val="009D73DC"/>
    <w:rsid w:val="009E1C9B"/>
    <w:rsid w:val="00A01363"/>
    <w:rsid w:val="00A01A45"/>
    <w:rsid w:val="00A05C74"/>
    <w:rsid w:val="00A1553B"/>
    <w:rsid w:val="00A1797C"/>
    <w:rsid w:val="00A206C8"/>
    <w:rsid w:val="00A22C06"/>
    <w:rsid w:val="00A23CE6"/>
    <w:rsid w:val="00A25BCD"/>
    <w:rsid w:val="00A3488C"/>
    <w:rsid w:val="00A44B76"/>
    <w:rsid w:val="00A4627C"/>
    <w:rsid w:val="00A46289"/>
    <w:rsid w:val="00A478E8"/>
    <w:rsid w:val="00A47F21"/>
    <w:rsid w:val="00A51B02"/>
    <w:rsid w:val="00A609DF"/>
    <w:rsid w:val="00A61B7D"/>
    <w:rsid w:val="00A639CF"/>
    <w:rsid w:val="00A6733D"/>
    <w:rsid w:val="00A67CD9"/>
    <w:rsid w:val="00A67D5E"/>
    <w:rsid w:val="00A74850"/>
    <w:rsid w:val="00A75A91"/>
    <w:rsid w:val="00A779A2"/>
    <w:rsid w:val="00A84834"/>
    <w:rsid w:val="00A91834"/>
    <w:rsid w:val="00A926B2"/>
    <w:rsid w:val="00A93119"/>
    <w:rsid w:val="00A97873"/>
    <w:rsid w:val="00AA20BF"/>
    <w:rsid w:val="00AB4121"/>
    <w:rsid w:val="00AC1A29"/>
    <w:rsid w:val="00AC2E8C"/>
    <w:rsid w:val="00AD59B8"/>
    <w:rsid w:val="00AD74B7"/>
    <w:rsid w:val="00AE2551"/>
    <w:rsid w:val="00AE746F"/>
    <w:rsid w:val="00AE768A"/>
    <w:rsid w:val="00B057DD"/>
    <w:rsid w:val="00B06120"/>
    <w:rsid w:val="00B063BF"/>
    <w:rsid w:val="00B06889"/>
    <w:rsid w:val="00B0761B"/>
    <w:rsid w:val="00B11424"/>
    <w:rsid w:val="00B11737"/>
    <w:rsid w:val="00B1328F"/>
    <w:rsid w:val="00B13820"/>
    <w:rsid w:val="00B14BCB"/>
    <w:rsid w:val="00B15717"/>
    <w:rsid w:val="00B15A4C"/>
    <w:rsid w:val="00B20748"/>
    <w:rsid w:val="00B21DA7"/>
    <w:rsid w:val="00B27902"/>
    <w:rsid w:val="00B32ABA"/>
    <w:rsid w:val="00B3386F"/>
    <w:rsid w:val="00B33D8C"/>
    <w:rsid w:val="00B36494"/>
    <w:rsid w:val="00B40645"/>
    <w:rsid w:val="00B42B2E"/>
    <w:rsid w:val="00B61E61"/>
    <w:rsid w:val="00B62BF2"/>
    <w:rsid w:val="00B63ACC"/>
    <w:rsid w:val="00B67363"/>
    <w:rsid w:val="00B77590"/>
    <w:rsid w:val="00B81E5D"/>
    <w:rsid w:val="00B81F3C"/>
    <w:rsid w:val="00B82C96"/>
    <w:rsid w:val="00B84016"/>
    <w:rsid w:val="00B9051E"/>
    <w:rsid w:val="00B9274F"/>
    <w:rsid w:val="00B93597"/>
    <w:rsid w:val="00BA0485"/>
    <w:rsid w:val="00BA5A4C"/>
    <w:rsid w:val="00BB3E1B"/>
    <w:rsid w:val="00BB4DC7"/>
    <w:rsid w:val="00BB4FA8"/>
    <w:rsid w:val="00BB74AE"/>
    <w:rsid w:val="00BC1FD0"/>
    <w:rsid w:val="00BC636C"/>
    <w:rsid w:val="00BE3308"/>
    <w:rsid w:val="00BE65F5"/>
    <w:rsid w:val="00BE697C"/>
    <w:rsid w:val="00BE7D01"/>
    <w:rsid w:val="00BF06CC"/>
    <w:rsid w:val="00BF596A"/>
    <w:rsid w:val="00BF72F3"/>
    <w:rsid w:val="00BF73B4"/>
    <w:rsid w:val="00BF7C35"/>
    <w:rsid w:val="00C1161D"/>
    <w:rsid w:val="00C229C5"/>
    <w:rsid w:val="00C27C27"/>
    <w:rsid w:val="00C40443"/>
    <w:rsid w:val="00C45296"/>
    <w:rsid w:val="00C455CB"/>
    <w:rsid w:val="00C4654B"/>
    <w:rsid w:val="00C66986"/>
    <w:rsid w:val="00C72294"/>
    <w:rsid w:val="00C723A9"/>
    <w:rsid w:val="00C80A05"/>
    <w:rsid w:val="00C84118"/>
    <w:rsid w:val="00C8416D"/>
    <w:rsid w:val="00C87321"/>
    <w:rsid w:val="00C943F8"/>
    <w:rsid w:val="00CA125E"/>
    <w:rsid w:val="00CB44F5"/>
    <w:rsid w:val="00CC46A9"/>
    <w:rsid w:val="00CC76F3"/>
    <w:rsid w:val="00CD1568"/>
    <w:rsid w:val="00CD33EC"/>
    <w:rsid w:val="00CD56D9"/>
    <w:rsid w:val="00CD7853"/>
    <w:rsid w:val="00CE08B7"/>
    <w:rsid w:val="00CE469B"/>
    <w:rsid w:val="00CF6B1B"/>
    <w:rsid w:val="00CF7976"/>
    <w:rsid w:val="00D04252"/>
    <w:rsid w:val="00D06FE9"/>
    <w:rsid w:val="00D12F11"/>
    <w:rsid w:val="00D15DE3"/>
    <w:rsid w:val="00D220DC"/>
    <w:rsid w:val="00D231AE"/>
    <w:rsid w:val="00D31E6A"/>
    <w:rsid w:val="00D34FAF"/>
    <w:rsid w:val="00D41287"/>
    <w:rsid w:val="00D430B5"/>
    <w:rsid w:val="00D4327C"/>
    <w:rsid w:val="00D4439B"/>
    <w:rsid w:val="00D451F4"/>
    <w:rsid w:val="00D464AA"/>
    <w:rsid w:val="00D4769F"/>
    <w:rsid w:val="00D50036"/>
    <w:rsid w:val="00D50B5F"/>
    <w:rsid w:val="00D5142B"/>
    <w:rsid w:val="00D54363"/>
    <w:rsid w:val="00D634B2"/>
    <w:rsid w:val="00D655AE"/>
    <w:rsid w:val="00D701C1"/>
    <w:rsid w:val="00D80B1E"/>
    <w:rsid w:val="00D80CF9"/>
    <w:rsid w:val="00D819D2"/>
    <w:rsid w:val="00D85C5E"/>
    <w:rsid w:val="00D87020"/>
    <w:rsid w:val="00D90521"/>
    <w:rsid w:val="00D91606"/>
    <w:rsid w:val="00DC0C17"/>
    <w:rsid w:val="00DC101B"/>
    <w:rsid w:val="00DC1884"/>
    <w:rsid w:val="00DD3490"/>
    <w:rsid w:val="00DD44F7"/>
    <w:rsid w:val="00DD6742"/>
    <w:rsid w:val="00DE3590"/>
    <w:rsid w:val="00DF1362"/>
    <w:rsid w:val="00DF4FB0"/>
    <w:rsid w:val="00DF7549"/>
    <w:rsid w:val="00DF7B80"/>
    <w:rsid w:val="00E05B9C"/>
    <w:rsid w:val="00E0739C"/>
    <w:rsid w:val="00E07C07"/>
    <w:rsid w:val="00E1266D"/>
    <w:rsid w:val="00E134DD"/>
    <w:rsid w:val="00E245B5"/>
    <w:rsid w:val="00E3273C"/>
    <w:rsid w:val="00E40973"/>
    <w:rsid w:val="00E47FA8"/>
    <w:rsid w:val="00E56BEC"/>
    <w:rsid w:val="00E56D34"/>
    <w:rsid w:val="00E573E3"/>
    <w:rsid w:val="00E60CC3"/>
    <w:rsid w:val="00E61A72"/>
    <w:rsid w:val="00E64685"/>
    <w:rsid w:val="00E65862"/>
    <w:rsid w:val="00E71136"/>
    <w:rsid w:val="00E86CB2"/>
    <w:rsid w:val="00EA11F8"/>
    <w:rsid w:val="00EA2FBC"/>
    <w:rsid w:val="00EA32C7"/>
    <w:rsid w:val="00EB17C7"/>
    <w:rsid w:val="00EB1814"/>
    <w:rsid w:val="00EB5B2D"/>
    <w:rsid w:val="00EB77C4"/>
    <w:rsid w:val="00EC3CBE"/>
    <w:rsid w:val="00ED585B"/>
    <w:rsid w:val="00EE0F1F"/>
    <w:rsid w:val="00EE5278"/>
    <w:rsid w:val="00EF0100"/>
    <w:rsid w:val="00EF531F"/>
    <w:rsid w:val="00F042B7"/>
    <w:rsid w:val="00F04328"/>
    <w:rsid w:val="00F06036"/>
    <w:rsid w:val="00F16792"/>
    <w:rsid w:val="00F23429"/>
    <w:rsid w:val="00F23DBD"/>
    <w:rsid w:val="00F3179F"/>
    <w:rsid w:val="00F33A28"/>
    <w:rsid w:val="00F34087"/>
    <w:rsid w:val="00F411A5"/>
    <w:rsid w:val="00F46C59"/>
    <w:rsid w:val="00F46CEC"/>
    <w:rsid w:val="00F51791"/>
    <w:rsid w:val="00F52074"/>
    <w:rsid w:val="00F54465"/>
    <w:rsid w:val="00F619A8"/>
    <w:rsid w:val="00F65E0C"/>
    <w:rsid w:val="00F67245"/>
    <w:rsid w:val="00F6754B"/>
    <w:rsid w:val="00F76AB2"/>
    <w:rsid w:val="00F900F6"/>
    <w:rsid w:val="00F925F8"/>
    <w:rsid w:val="00F9536A"/>
    <w:rsid w:val="00F97721"/>
    <w:rsid w:val="00FA6911"/>
    <w:rsid w:val="00FB3590"/>
    <w:rsid w:val="00FC5327"/>
    <w:rsid w:val="00FD342C"/>
    <w:rsid w:val="00FD7E95"/>
    <w:rsid w:val="00FE3416"/>
    <w:rsid w:val="00FE53BB"/>
    <w:rsid w:val="00FE6D0A"/>
    <w:rsid w:val="00FE779E"/>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F01EF"/>
  <w15:chartTrackingRefBased/>
  <w15:docId w15:val="{F96C767A-BE01-4F9B-B596-A17D4F8B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33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33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33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33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33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33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33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33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33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33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33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33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33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33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33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33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33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33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33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33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3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33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3B2"/>
    <w:pPr>
      <w:spacing w:before="160" w:after="160"/>
      <w:jc w:val="center"/>
    </w:pPr>
    <w:rPr>
      <w:i/>
      <w:iCs/>
      <w:color w:val="404040" w:themeColor="text1" w:themeTint="BF"/>
    </w:rPr>
  </w:style>
  <w:style w:type="character" w:customStyle="1" w:styleId="a8">
    <w:name w:val="引用文 (文字)"/>
    <w:basedOn w:val="a0"/>
    <w:link w:val="a7"/>
    <w:uiPriority w:val="29"/>
    <w:rsid w:val="004333B2"/>
    <w:rPr>
      <w:i/>
      <w:iCs/>
      <w:color w:val="404040" w:themeColor="text1" w:themeTint="BF"/>
    </w:rPr>
  </w:style>
  <w:style w:type="paragraph" w:styleId="a9">
    <w:name w:val="List Paragraph"/>
    <w:basedOn w:val="a"/>
    <w:uiPriority w:val="34"/>
    <w:qFormat/>
    <w:rsid w:val="004333B2"/>
    <w:pPr>
      <w:ind w:left="720"/>
      <w:contextualSpacing/>
    </w:pPr>
  </w:style>
  <w:style w:type="character" w:styleId="21">
    <w:name w:val="Intense Emphasis"/>
    <w:basedOn w:val="a0"/>
    <w:uiPriority w:val="21"/>
    <w:qFormat/>
    <w:rsid w:val="004333B2"/>
    <w:rPr>
      <w:i/>
      <w:iCs/>
      <w:color w:val="2F5496" w:themeColor="accent1" w:themeShade="BF"/>
    </w:rPr>
  </w:style>
  <w:style w:type="paragraph" w:styleId="22">
    <w:name w:val="Intense Quote"/>
    <w:basedOn w:val="a"/>
    <w:next w:val="a"/>
    <w:link w:val="23"/>
    <w:uiPriority w:val="30"/>
    <w:qFormat/>
    <w:rsid w:val="00433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333B2"/>
    <w:rPr>
      <w:i/>
      <w:iCs/>
      <w:color w:val="2F5496" w:themeColor="accent1" w:themeShade="BF"/>
    </w:rPr>
  </w:style>
  <w:style w:type="character" w:styleId="24">
    <w:name w:val="Intense Reference"/>
    <w:basedOn w:val="a0"/>
    <w:uiPriority w:val="32"/>
    <w:qFormat/>
    <w:rsid w:val="004333B2"/>
    <w:rPr>
      <w:b/>
      <w:bCs/>
      <w:smallCaps/>
      <w:color w:val="2F5496" w:themeColor="accent1" w:themeShade="BF"/>
      <w:spacing w:val="5"/>
    </w:rPr>
  </w:style>
  <w:style w:type="character" w:styleId="aa">
    <w:name w:val="Hyperlink"/>
    <w:basedOn w:val="a0"/>
    <w:uiPriority w:val="99"/>
    <w:unhideWhenUsed/>
    <w:rsid w:val="004333B2"/>
    <w:rPr>
      <w:color w:val="0563C1" w:themeColor="hyperlink"/>
      <w:u w:val="single"/>
    </w:rPr>
  </w:style>
  <w:style w:type="character" w:styleId="ab">
    <w:name w:val="Unresolved Mention"/>
    <w:basedOn w:val="a0"/>
    <w:uiPriority w:val="99"/>
    <w:semiHidden/>
    <w:unhideWhenUsed/>
    <w:rsid w:val="004333B2"/>
    <w:rPr>
      <w:color w:val="605E5C"/>
      <w:shd w:val="clear" w:color="auto" w:fill="E1DFDD"/>
    </w:rPr>
  </w:style>
  <w:style w:type="paragraph" w:styleId="ac">
    <w:name w:val="header"/>
    <w:basedOn w:val="a"/>
    <w:link w:val="ad"/>
    <w:uiPriority w:val="99"/>
    <w:unhideWhenUsed/>
    <w:rsid w:val="00B40645"/>
    <w:pPr>
      <w:tabs>
        <w:tab w:val="center" w:pos="4252"/>
        <w:tab w:val="right" w:pos="8504"/>
      </w:tabs>
      <w:snapToGrid w:val="0"/>
    </w:pPr>
  </w:style>
  <w:style w:type="character" w:customStyle="1" w:styleId="ad">
    <w:name w:val="ヘッダー (文字)"/>
    <w:basedOn w:val="a0"/>
    <w:link w:val="ac"/>
    <w:uiPriority w:val="99"/>
    <w:rsid w:val="00B40645"/>
  </w:style>
  <w:style w:type="paragraph" w:styleId="ae">
    <w:name w:val="footer"/>
    <w:basedOn w:val="a"/>
    <w:link w:val="af"/>
    <w:uiPriority w:val="99"/>
    <w:unhideWhenUsed/>
    <w:rsid w:val="00B40645"/>
    <w:pPr>
      <w:tabs>
        <w:tab w:val="center" w:pos="4252"/>
        <w:tab w:val="right" w:pos="8504"/>
      </w:tabs>
      <w:snapToGrid w:val="0"/>
    </w:pPr>
  </w:style>
  <w:style w:type="character" w:customStyle="1" w:styleId="af">
    <w:name w:val="フッター (文字)"/>
    <w:basedOn w:val="a0"/>
    <w:link w:val="ae"/>
    <w:uiPriority w:val="99"/>
    <w:rsid w:val="00B4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Hattori</dc:creator>
  <cp:keywords/>
  <dc:description/>
  <cp:lastModifiedBy>Naoki Hattori</cp:lastModifiedBy>
  <cp:revision>6</cp:revision>
  <cp:lastPrinted>2026-01-14T00:42:00Z</cp:lastPrinted>
  <dcterms:created xsi:type="dcterms:W3CDTF">2026-02-17T22:42:00Z</dcterms:created>
  <dcterms:modified xsi:type="dcterms:W3CDTF">2026-02-19T05:48:00Z</dcterms:modified>
</cp:coreProperties>
</file>