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53D4" w14:textId="7BD154E1" w:rsidR="00440C4F" w:rsidRPr="00440C4F" w:rsidRDefault="00440C4F" w:rsidP="00440C4F">
      <w:r>
        <w:rPr>
          <w:rFonts w:hint="eastAsia"/>
          <w:b/>
          <w:bCs/>
        </w:rPr>
        <w:t>3.</w:t>
      </w:r>
      <w:r w:rsidRPr="00440C4F">
        <w:rPr>
          <w:rFonts w:hint="eastAsia"/>
          <w:b/>
          <w:bCs/>
        </w:rPr>
        <w:t xml:space="preserve"> </w:t>
      </w:r>
      <w:r w:rsidRPr="00440C4F">
        <w:rPr>
          <w:b/>
          <w:bCs/>
        </w:rPr>
        <w:t>ライフイベントを見据えた体系的な資産運用</w:t>
      </w:r>
    </w:p>
    <w:p w14:paraId="7F150A33" w14:textId="77777777" w:rsidR="005A042F" w:rsidRDefault="005A042F"/>
    <w:p w14:paraId="3BFD8B71" w14:textId="77777777" w:rsidR="001126E5" w:rsidRPr="001126E5" w:rsidRDefault="001126E5" w:rsidP="001126E5">
      <w:pPr>
        <w:rPr>
          <w:b/>
          <w:bCs/>
          <w:color w:val="EE0000"/>
        </w:rPr>
      </w:pPr>
      <w:r w:rsidRPr="001126E5">
        <w:rPr>
          <w:b/>
          <w:bCs/>
          <w:color w:val="EE0000"/>
        </w:rPr>
        <w:t>本ページは、現在勤務医として働いており、将来の開業や教育資金、老後資金について中長期的に考え始めた先生方を主な対象としています。</w:t>
      </w:r>
    </w:p>
    <w:p w14:paraId="6A986510" w14:textId="77777777" w:rsidR="001126E5" w:rsidRDefault="001126E5"/>
    <w:p w14:paraId="3F38815E" w14:textId="77777777" w:rsidR="005A042F" w:rsidRPr="005A042F" w:rsidRDefault="005A042F" w:rsidP="005A042F">
      <w:r w:rsidRPr="005A042F">
        <w:t>勤務医の方が「開業」「教育」「老後」という3つの大きな資金需要に応えるためには、医師特有の</w:t>
      </w:r>
      <w:r w:rsidRPr="005A042F">
        <w:rPr>
          <w:b/>
          <w:bCs/>
        </w:rPr>
        <w:t>高い節税余地</w:t>
      </w:r>
      <w:r w:rsidRPr="005A042F">
        <w:t>と</w:t>
      </w:r>
      <w:r w:rsidRPr="005A042F">
        <w:rPr>
          <w:b/>
          <w:bCs/>
        </w:rPr>
        <w:t>社会的信用</w:t>
      </w:r>
      <w:r w:rsidRPr="005A042F">
        <w:t>を活かした段階的な運用が鍵となります。</w:t>
      </w:r>
    </w:p>
    <w:p w14:paraId="75C7D321" w14:textId="77777777" w:rsidR="005A042F" w:rsidRPr="005A042F" w:rsidRDefault="005A042F" w:rsidP="005A042F">
      <w:r w:rsidRPr="005A042F">
        <w:t>2026年現在の状況を踏まえた具体的な運用戦略は以下の通りです。</w:t>
      </w:r>
    </w:p>
    <w:p w14:paraId="0DFB8CFB" w14:textId="6F105056" w:rsidR="005A042F" w:rsidRPr="005A042F" w:rsidRDefault="00440C4F" w:rsidP="005A042F">
      <w:pPr>
        <w:rPr>
          <w:b/>
          <w:bCs/>
        </w:rPr>
      </w:pPr>
      <w:r>
        <w:rPr>
          <w:rFonts w:hint="eastAsia"/>
          <w:b/>
          <w:bCs/>
        </w:rPr>
        <w:t>①</w:t>
      </w:r>
      <w:r w:rsidR="005A042F" w:rsidRPr="005A042F">
        <w:rPr>
          <w:b/>
          <w:bCs/>
        </w:rPr>
        <w:t xml:space="preserve"> 資産形成の優先順位と制度の活用</w:t>
      </w:r>
    </w:p>
    <w:p w14:paraId="065C338E" w14:textId="77777777" w:rsidR="005A042F" w:rsidRPr="005A042F" w:rsidRDefault="005A042F" w:rsidP="005A042F">
      <w:r w:rsidRPr="005A042F">
        <w:t>まずは節税効果の高い制度をフル活用し、運用効率を最大化します。 </w:t>
      </w:r>
    </w:p>
    <w:p w14:paraId="17A43927" w14:textId="766D1A6F" w:rsidR="00440C4F" w:rsidRPr="005A042F" w:rsidRDefault="00440C4F" w:rsidP="00440C4F">
      <w:pPr>
        <w:numPr>
          <w:ilvl w:val="0"/>
          <w:numId w:val="1"/>
        </w:numPr>
      </w:pPr>
      <w:r w:rsidRPr="005A042F">
        <w:rPr>
          <w:b/>
          <w:bCs/>
        </w:rPr>
        <w:t>保険医年金</w:t>
      </w:r>
      <w:r w:rsidR="00950917" w:rsidRPr="00073C3E">
        <w:rPr>
          <w:rFonts w:hint="eastAsia"/>
          <w:b/>
          <w:bCs/>
          <w:color w:val="EE0000"/>
        </w:rPr>
        <w:t>・</w:t>
      </w:r>
      <w:proofErr w:type="spellStart"/>
      <w:r w:rsidR="00073C3E" w:rsidRPr="00073C3E">
        <w:rPr>
          <w:rFonts w:hint="eastAsia"/>
          <w:b/>
          <w:bCs/>
          <w:color w:val="EE0000"/>
        </w:rPr>
        <w:t>DefL</w:t>
      </w:r>
      <w:proofErr w:type="spellEnd"/>
    </w:p>
    <w:p w14:paraId="539AA1BC" w14:textId="77777777" w:rsidR="00440C4F" w:rsidRDefault="00440C4F" w:rsidP="00440C4F">
      <w:pPr>
        <w:ind w:left="851"/>
      </w:pPr>
      <w:r>
        <w:rPr>
          <w:rFonts w:hint="eastAsia"/>
        </w:rPr>
        <w:t>協会会員専用の</w:t>
      </w:r>
      <w:r w:rsidRPr="005A042F">
        <w:t>保険医年金は、元本確保性が高く予定利率が保障されているため、</w:t>
      </w:r>
      <w:r>
        <w:rPr>
          <w:rFonts w:hint="eastAsia"/>
        </w:rPr>
        <w:t>投資信託等</w:t>
      </w:r>
      <w:r w:rsidRPr="005A042F">
        <w:t>リスク</w:t>
      </w:r>
      <w:r>
        <w:rPr>
          <w:rFonts w:hint="eastAsia"/>
        </w:rPr>
        <w:t>性資産のポートフォリオ</w:t>
      </w:r>
      <w:r w:rsidRPr="005A042F">
        <w:t>として有効です。</w:t>
      </w:r>
    </w:p>
    <w:p w14:paraId="6AB4CE8D" w14:textId="0F4F7875" w:rsidR="00440C4F" w:rsidRDefault="00073C3E" w:rsidP="00440C4F">
      <w:pPr>
        <w:ind w:left="851"/>
      </w:pPr>
      <w:r w:rsidRPr="00766071">
        <w:rPr>
          <w:rFonts w:hint="eastAsia"/>
          <w:b/>
          <w:bCs/>
          <w:color w:val="EE0000"/>
        </w:rPr>
        <w:t>必要資金の払い出し</w:t>
      </w:r>
      <w:r w:rsidR="00440C4F">
        <w:rPr>
          <w:rFonts w:hint="eastAsia"/>
        </w:rPr>
        <w:t>もでき、換金性にも優れているのが特徴です。</w:t>
      </w:r>
    </w:p>
    <w:p w14:paraId="1231460B" w14:textId="26D76078" w:rsidR="00440C4F" w:rsidRPr="005A042F" w:rsidRDefault="00440C4F" w:rsidP="00440C4F">
      <w:pPr>
        <w:ind w:left="851"/>
      </w:pPr>
      <w:bookmarkStart w:id="0" w:name="_Hlk219271458"/>
      <w:r w:rsidRPr="00440C4F">
        <w:rPr>
          <w:rFonts w:hint="eastAsia"/>
        </w:rPr>
        <w:t>詳細は紹介ページをご覧ください。　→（リンク）</w:t>
      </w:r>
      <w:bookmarkEnd w:id="0"/>
    </w:p>
    <w:p w14:paraId="1A32952C" w14:textId="77777777" w:rsidR="005A042F" w:rsidRPr="005A042F" w:rsidRDefault="005A042F" w:rsidP="005A042F">
      <w:pPr>
        <w:numPr>
          <w:ilvl w:val="0"/>
          <w:numId w:val="1"/>
        </w:numPr>
      </w:pPr>
      <w:proofErr w:type="spellStart"/>
      <w:r w:rsidRPr="005A042F">
        <w:rPr>
          <w:b/>
          <w:bCs/>
        </w:rPr>
        <w:t>iDeCo</w:t>
      </w:r>
      <w:proofErr w:type="spellEnd"/>
      <w:r w:rsidRPr="005A042F">
        <w:rPr>
          <w:b/>
          <w:bCs/>
        </w:rPr>
        <w:t>（個人型確定拠出年金）</w:t>
      </w:r>
      <w:r w:rsidRPr="005A042F">
        <w:t>:</w:t>
      </w:r>
    </w:p>
    <w:p w14:paraId="21917082" w14:textId="4E4342AD" w:rsidR="005A042F" w:rsidRPr="005A042F" w:rsidRDefault="005A042F" w:rsidP="00440C4F">
      <w:pPr>
        <w:ind w:left="851"/>
      </w:pPr>
      <w:r w:rsidRPr="005A042F">
        <w:rPr>
          <w:b/>
          <w:bCs/>
        </w:rPr>
        <w:t>目的</w:t>
      </w:r>
      <w:r w:rsidR="00440C4F">
        <w:rPr>
          <w:rFonts w:hint="eastAsia"/>
        </w:rPr>
        <w:t>：</w:t>
      </w:r>
      <w:r w:rsidRPr="005A042F">
        <w:t xml:space="preserve"> 勇退後の生活資金（老後資金）。</w:t>
      </w:r>
    </w:p>
    <w:p w14:paraId="6395F58E" w14:textId="2C3B5730" w:rsidR="005A042F" w:rsidRPr="005A042F" w:rsidRDefault="005A042F" w:rsidP="00440C4F">
      <w:pPr>
        <w:ind w:left="851"/>
      </w:pPr>
      <w:r w:rsidRPr="005A042F">
        <w:rPr>
          <w:b/>
          <w:bCs/>
        </w:rPr>
        <w:t>メリット</w:t>
      </w:r>
      <w:r w:rsidR="00440C4F">
        <w:rPr>
          <w:rFonts w:hint="eastAsia"/>
        </w:rPr>
        <w:t>：</w:t>
      </w:r>
      <w:r w:rsidRPr="005A042F">
        <w:t xml:space="preserve"> 掛金が全額所得控除されるため、高所得な医師ほど所得税・住民税の軽減効果が大きくなります。</w:t>
      </w:r>
    </w:p>
    <w:p w14:paraId="0AFA299F" w14:textId="006087E7" w:rsidR="005A042F" w:rsidRPr="005A042F" w:rsidRDefault="005A042F" w:rsidP="005A042F">
      <w:pPr>
        <w:numPr>
          <w:ilvl w:val="0"/>
          <w:numId w:val="1"/>
        </w:numPr>
      </w:pPr>
      <w:r w:rsidRPr="005A042F">
        <w:rPr>
          <w:b/>
          <w:bCs/>
        </w:rPr>
        <w:t>NISA（少額投資非課税制度）</w:t>
      </w:r>
      <w:r w:rsidRPr="005A042F">
        <w:t>:</w:t>
      </w:r>
    </w:p>
    <w:p w14:paraId="3A1B74DB" w14:textId="081E5E27" w:rsidR="005A042F" w:rsidRPr="005A042F" w:rsidRDefault="005A042F" w:rsidP="00440C4F">
      <w:pPr>
        <w:ind w:left="851"/>
      </w:pPr>
      <w:r w:rsidRPr="005A042F">
        <w:rPr>
          <w:b/>
          <w:bCs/>
        </w:rPr>
        <w:t>目的</w:t>
      </w:r>
      <w:r w:rsidR="00440C4F">
        <w:rPr>
          <w:rFonts w:hint="eastAsia"/>
        </w:rPr>
        <w:t>：</w:t>
      </w:r>
      <w:r w:rsidRPr="005A042F">
        <w:t xml:space="preserve"> 教育資金、または開業に向けた中長期の準備。</w:t>
      </w:r>
    </w:p>
    <w:p w14:paraId="4A5EC2F6" w14:textId="3BF183FE" w:rsidR="005A042F" w:rsidRPr="005A042F" w:rsidRDefault="005A042F" w:rsidP="00440C4F">
      <w:pPr>
        <w:ind w:left="851"/>
      </w:pPr>
      <w:r w:rsidRPr="005A042F">
        <w:rPr>
          <w:b/>
          <w:bCs/>
        </w:rPr>
        <w:t>メリット</w:t>
      </w:r>
      <w:r w:rsidR="00440C4F">
        <w:rPr>
          <w:rFonts w:hint="eastAsia"/>
        </w:rPr>
        <w:t>：</w:t>
      </w:r>
      <w:r w:rsidRPr="005A042F">
        <w:t xml:space="preserve"> 運用益が非課税で、必要に応じて柔軟に解約・換金が可能です。教育資金のように時期が決まっている資金は「つみたて投資枠」での全世界株・米国株インデックス投資</w:t>
      </w:r>
      <w:r w:rsidR="00602CA9">
        <w:rPr>
          <w:rFonts w:hint="eastAsia"/>
        </w:rPr>
        <w:t>も</w:t>
      </w:r>
      <w:r w:rsidR="00602CA9" w:rsidRPr="00602CA9">
        <w:rPr>
          <w:rFonts w:hint="eastAsia"/>
          <w:b/>
          <w:bCs/>
          <w:color w:val="EE0000"/>
        </w:rPr>
        <w:t>選択肢の</w:t>
      </w:r>
      <w:r w:rsidR="00BC11D2">
        <w:rPr>
          <w:rFonts w:hint="eastAsia"/>
          <w:b/>
          <w:bCs/>
          <w:color w:val="EE0000"/>
        </w:rPr>
        <w:t>ひとつで</w:t>
      </w:r>
      <w:r w:rsidR="00602CA9" w:rsidRPr="00602CA9">
        <w:rPr>
          <w:rFonts w:hint="eastAsia"/>
          <w:b/>
          <w:bCs/>
          <w:color w:val="EE0000"/>
        </w:rPr>
        <w:t>す。</w:t>
      </w:r>
    </w:p>
    <w:p w14:paraId="71A4F6EE" w14:textId="0337F332" w:rsidR="005A042F" w:rsidRPr="005A042F" w:rsidRDefault="00440C4F" w:rsidP="005A042F">
      <w:pPr>
        <w:rPr>
          <w:b/>
          <w:bCs/>
        </w:rPr>
      </w:pPr>
      <w:r>
        <w:rPr>
          <w:rFonts w:hint="eastAsia"/>
          <w:b/>
          <w:bCs/>
        </w:rPr>
        <w:t>②</w:t>
      </w:r>
      <w:r w:rsidR="005A042F" w:rsidRPr="005A042F">
        <w:rPr>
          <w:b/>
          <w:bCs/>
        </w:rPr>
        <w:t xml:space="preserve"> 目的に応じた具体的戦略</w:t>
      </w:r>
    </w:p>
    <w:p w14:paraId="60A203DE" w14:textId="58464C70" w:rsidR="005A042F" w:rsidRPr="005A042F" w:rsidRDefault="00440C4F" w:rsidP="00440C4F">
      <w:pPr>
        <w:ind w:firstLineChars="100" w:firstLine="210"/>
        <w:rPr>
          <w:b/>
          <w:bCs/>
        </w:rPr>
      </w:pPr>
      <w:r>
        <w:rPr>
          <w:rFonts w:hint="eastAsia"/>
          <w:b/>
          <w:bCs/>
        </w:rPr>
        <w:t>《</w:t>
      </w:r>
      <w:r w:rsidR="005A042F" w:rsidRPr="005A042F">
        <w:rPr>
          <w:b/>
          <w:bCs/>
        </w:rPr>
        <w:t>開業資金の準備（5〜10年スパン）</w:t>
      </w:r>
      <w:r w:rsidR="00612B9E">
        <w:rPr>
          <w:rFonts w:hint="eastAsia"/>
          <w:b/>
          <w:bCs/>
        </w:rPr>
        <w:t>》</w:t>
      </w:r>
    </w:p>
    <w:p w14:paraId="427B3BC8" w14:textId="06663A24" w:rsidR="005A042F" w:rsidRPr="005A042F" w:rsidRDefault="005A042F" w:rsidP="005A042F">
      <w:pPr>
        <w:numPr>
          <w:ilvl w:val="0"/>
          <w:numId w:val="2"/>
        </w:numPr>
      </w:pPr>
      <w:r w:rsidRPr="005A042F">
        <w:rPr>
          <w:b/>
          <w:bCs/>
        </w:rPr>
        <w:t>自己資金の目安</w:t>
      </w:r>
      <w:r w:rsidR="00612B9E">
        <w:rPr>
          <w:rFonts w:hint="eastAsia"/>
        </w:rPr>
        <w:t>：</w:t>
      </w:r>
      <w:r w:rsidRPr="005A042F">
        <w:t>一般的なクリニック開業には</w:t>
      </w:r>
      <w:r w:rsidR="00612B9E">
        <w:rPr>
          <w:rFonts w:hint="eastAsia"/>
        </w:rPr>
        <w:t>約</w:t>
      </w:r>
      <w:r w:rsidRPr="005A042F">
        <w:t>1億円程度かかる</w:t>
      </w:r>
      <w:r w:rsidR="00612B9E">
        <w:rPr>
          <w:rFonts w:hint="eastAsia"/>
        </w:rPr>
        <w:t>見込みで</w:t>
      </w:r>
      <w:r w:rsidRPr="005A042F">
        <w:t>すが、自己資金は1,000万〜2,000万円程度確保し、残りは融資で賄うのが一般的です。</w:t>
      </w:r>
    </w:p>
    <w:p w14:paraId="0CB14339" w14:textId="6112BA4F" w:rsidR="005A042F" w:rsidRPr="005A042F" w:rsidRDefault="005A042F" w:rsidP="005A042F">
      <w:pPr>
        <w:numPr>
          <w:ilvl w:val="0"/>
          <w:numId w:val="2"/>
        </w:numPr>
      </w:pPr>
      <w:r w:rsidRPr="005A042F">
        <w:rPr>
          <w:b/>
          <w:bCs/>
        </w:rPr>
        <w:t>運用手法</w:t>
      </w:r>
      <w:r w:rsidR="00612B9E">
        <w:rPr>
          <w:rFonts w:hint="eastAsia"/>
        </w:rPr>
        <w:t>：</w:t>
      </w:r>
      <w:r w:rsidRPr="005A042F">
        <w:t xml:space="preserve"> 5年以内に開業を予定している場合は、元本割れリスクを抑え</w:t>
      </w:r>
      <w:r w:rsidR="00612B9E">
        <w:rPr>
          <w:rFonts w:hint="eastAsia"/>
        </w:rPr>
        <w:t>て流動性を確保す</w:t>
      </w:r>
      <w:r w:rsidRPr="005A042F">
        <w:t>るため、</w:t>
      </w:r>
      <w:r w:rsidR="00612B9E">
        <w:rPr>
          <w:rFonts w:hint="eastAsia"/>
        </w:rPr>
        <w:t>投資信託などリスク性商品は避け、保険医年金や</w:t>
      </w:r>
      <w:r w:rsidRPr="005A042F">
        <w:t>定期預金</w:t>
      </w:r>
      <w:r w:rsidR="00612B9E">
        <w:rPr>
          <w:rFonts w:hint="eastAsia"/>
        </w:rPr>
        <w:t>など換金が柔軟な仕組みの商品を選択します。</w:t>
      </w:r>
      <w:r w:rsidRPr="005A042F">
        <w:t> </w:t>
      </w:r>
    </w:p>
    <w:p w14:paraId="076C93D6" w14:textId="4FD2E5E1" w:rsidR="005A042F" w:rsidRPr="005A042F" w:rsidRDefault="00EE6F5D" w:rsidP="00EE6F5D">
      <w:pPr>
        <w:ind w:firstLineChars="100" w:firstLine="210"/>
        <w:rPr>
          <w:b/>
          <w:bCs/>
        </w:rPr>
      </w:pPr>
      <w:r>
        <w:rPr>
          <w:rFonts w:hint="eastAsia"/>
          <w:b/>
          <w:bCs/>
        </w:rPr>
        <w:t>《</w:t>
      </w:r>
      <w:r w:rsidR="005A042F" w:rsidRPr="005A042F">
        <w:rPr>
          <w:b/>
          <w:bCs/>
        </w:rPr>
        <w:t xml:space="preserve"> 教育資金（医学部進学を見据える場合）</w:t>
      </w:r>
      <w:r>
        <w:rPr>
          <w:rFonts w:hint="eastAsia"/>
          <w:b/>
          <w:bCs/>
        </w:rPr>
        <w:t>》</w:t>
      </w:r>
    </w:p>
    <w:p w14:paraId="6B704012" w14:textId="0B9790FE" w:rsidR="005A042F" w:rsidRPr="005A042F" w:rsidRDefault="005A042F" w:rsidP="005A042F">
      <w:pPr>
        <w:numPr>
          <w:ilvl w:val="0"/>
          <w:numId w:val="3"/>
        </w:numPr>
      </w:pPr>
      <w:r w:rsidRPr="005A042F">
        <w:rPr>
          <w:b/>
          <w:bCs/>
        </w:rPr>
        <w:t>必要額の把握</w:t>
      </w:r>
      <w:r w:rsidR="00612B9E">
        <w:rPr>
          <w:rFonts w:hint="eastAsia"/>
        </w:rPr>
        <w:t>：</w:t>
      </w:r>
      <w:r w:rsidRPr="005A042F">
        <w:t>私立医学部の場合、6年間で約</w:t>
      </w:r>
      <w:r w:rsidR="00612B9E">
        <w:rPr>
          <w:rFonts w:hint="eastAsia"/>
        </w:rPr>
        <w:t>1,900万</w:t>
      </w:r>
      <w:r w:rsidRPr="005A042F">
        <w:t>〜4,</w:t>
      </w:r>
      <w:r w:rsidR="00612B9E">
        <w:rPr>
          <w:rFonts w:hint="eastAsia"/>
        </w:rPr>
        <w:t>55</w:t>
      </w:r>
      <w:r w:rsidRPr="005A042F">
        <w:t>0万円超の学費が必要です（2026年最新ランキングでも国際医療福祉大学の約1,850万円から川崎医科大学の約4,700万円超まで幅があります）。</w:t>
      </w:r>
    </w:p>
    <w:p w14:paraId="4C56EFBE" w14:textId="0661AB7C" w:rsidR="005A042F" w:rsidRPr="005A042F" w:rsidRDefault="005A042F" w:rsidP="005A042F">
      <w:pPr>
        <w:numPr>
          <w:ilvl w:val="0"/>
          <w:numId w:val="3"/>
        </w:numPr>
      </w:pPr>
      <w:r w:rsidRPr="005A042F">
        <w:rPr>
          <w:b/>
          <w:bCs/>
        </w:rPr>
        <w:t>戦略</w:t>
      </w:r>
      <w:r w:rsidR="00612B9E">
        <w:rPr>
          <w:rFonts w:hint="eastAsia"/>
        </w:rPr>
        <w:t>：</w:t>
      </w:r>
      <w:r w:rsidRPr="005A042F">
        <w:t xml:space="preserve"> </w:t>
      </w:r>
      <w:r w:rsidR="00612B9E">
        <w:rPr>
          <w:rFonts w:hint="eastAsia"/>
        </w:rPr>
        <w:t>お子さまが</w:t>
      </w:r>
      <w:r w:rsidRPr="005A042F">
        <w:t>低学年</w:t>
      </w:r>
      <w:r w:rsidR="00612B9E">
        <w:rPr>
          <w:rFonts w:hint="eastAsia"/>
        </w:rPr>
        <w:t>の時期</w:t>
      </w:r>
      <w:r w:rsidRPr="005A042F">
        <w:t>から</w:t>
      </w:r>
      <w:r w:rsidR="00612B9E">
        <w:rPr>
          <w:rFonts w:hint="eastAsia"/>
        </w:rPr>
        <w:t>保険医年金や積立貯蓄、</w:t>
      </w:r>
      <w:r w:rsidRPr="005A042F">
        <w:t>NISA</w:t>
      </w:r>
      <w:r w:rsidR="00612B9E">
        <w:rPr>
          <w:rFonts w:hint="eastAsia"/>
        </w:rPr>
        <w:t>など</w:t>
      </w:r>
      <w:r w:rsidRPr="005A042F">
        <w:t>で積立を継</w:t>
      </w:r>
      <w:r w:rsidRPr="005A042F">
        <w:lastRenderedPageBreak/>
        <w:t>続しつつ、不足分は「教育ローン」や、将来の勤務先を条件とした「地域枠奨学金」の活用も検討材料に入れます。 </w:t>
      </w:r>
    </w:p>
    <w:p w14:paraId="3E3839F2" w14:textId="777D248F" w:rsidR="005A042F" w:rsidRPr="005A042F" w:rsidRDefault="00EE6F5D" w:rsidP="00EE6F5D">
      <w:pPr>
        <w:ind w:firstLineChars="100" w:firstLine="210"/>
        <w:rPr>
          <w:b/>
          <w:bCs/>
        </w:rPr>
      </w:pPr>
      <w:r>
        <w:rPr>
          <w:rFonts w:hint="eastAsia"/>
          <w:b/>
          <w:bCs/>
        </w:rPr>
        <w:t>《</w:t>
      </w:r>
      <w:r w:rsidR="005A042F" w:rsidRPr="005A042F">
        <w:rPr>
          <w:b/>
          <w:bCs/>
        </w:rPr>
        <w:t xml:space="preserve"> 勇退後の生活資金</w:t>
      </w:r>
      <w:r>
        <w:rPr>
          <w:rFonts w:hint="eastAsia"/>
          <w:b/>
          <w:bCs/>
        </w:rPr>
        <w:t>》</w:t>
      </w:r>
    </w:p>
    <w:p w14:paraId="0E007E5F" w14:textId="2F7434B7" w:rsidR="00EE6F5D" w:rsidRPr="00EE6F5D" w:rsidRDefault="00EE6F5D" w:rsidP="005A042F">
      <w:pPr>
        <w:numPr>
          <w:ilvl w:val="0"/>
          <w:numId w:val="4"/>
        </w:numPr>
      </w:pPr>
      <w:r w:rsidRPr="00EE6F5D">
        <w:rPr>
          <w:rFonts w:hint="eastAsia"/>
          <w:b/>
          <w:bCs/>
        </w:rPr>
        <w:t>保険医年金・</w:t>
      </w:r>
      <w:proofErr w:type="spellStart"/>
      <w:r w:rsidRPr="00EE6F5D">
        <w:rPr>
          <w:b/>
          <w:bCs/>
        </w:rPr>
        <w:t>iDeCo</w:t>
      </w:r>
      <w:proofErr w:type="spellEnd"/>
      <w:r>
        <w:rPr>
          <w:rFonts w:hint="eastAsia"/>
          <w:b/>
          <w:bCs/>
        </w:rPr>
        <w:t xml:space="preserve">の計画的な加入： </w:t>
      </w:r>
      <w:r>
        <w:rPr>
          <w:rFonts w:hint="eastAsia"/>
        </w:rPr>
        <w:t>開業資金や教育資金など若年期で</w:t>
      </w:r>
      <w:r w:rsidRPr="00EE6F5D">
        <w:rPr>
          <w:rFonts w:hint="eastAsia"/>
        </w:rPr>
        <w:t>使い切</w:t>
      </w:r>
      <w:r>
        <w:rPr>
          <w:rFonts w:hint="eastAsia"/>
        </w:rPr>
        <w:t>ってしまわないように、</w:t>
      </w:r>
      <w:r w:rsidRPr="00EE6F5D">
        <w:rPr>
          <w:rFonts w:hint="eastAsia"/>
        </w:rPr>
        <w:t>勇退予想</w:t>
      </w:r>
      <w:r>
        <w:rPr>
          <w:rFonts w:hint="eastAsia"/>
        </w:rPr>
        <w:t>年齢</w:t>
      </w:r>
      <w:r w:rsidRPr="00EE6F5D">
        <w:rPr>
          <w:rFonts w:hint="eastAsia"/>
        </w:rPr>
        <w:t>の時点で</w:t>
      </w:r>
      <w:r>
        <w:rPr>
          <w:rFonts w:hint="eastAsia"/>
        </w:rPr>
        <w:t>の資金目標を定めて、計画的に準備しましょう。</w:t>
      </w:r>
    </w:p>
    <w:p w14:paraId="0E13BE4D" w14:textId="729D0CC9" w:rsidR="005A042F" w:rsidRPr="005A042F" w:rsidRDefault="005A042F" w:rsidP="005A042F">
      <w:pPr>
        <w:numPr>
          <w:ilvl w:val="0"/>
          <w:numId w:val="4"/>
        </w:numPr>
      </w:pPr>
      <w:r w:rsidRPr="005A042F">
        <w:rPr>
          <w:b/>
          <w:bCs/>
        </w:rPr>
        <w:t>不動産投資の検討</w:t>
      </w:r>
      <w:r w:rsidR="001527A4">
        <w:rPr>
          <w:rFonts w:hint="eastAsia"/>
        </w:rPr>
        <w:t>：</w:t>
      </w:r>
      <w:r w:rsidRPr="005A042F">
        <w:t>勤務医としての高い与信枠を活かし、融資を利用して都心の中古ワンルームマンション等を購入する手法があります。ローン完済後は私的年金代わりの安定した家賃収入となります。</w:t>
      </w:r>
    </w:p>
    <w:p w14:paraId="26784B18" w14:textId="3F585260" w:rsidR="005A042F" w:rsidRPr="005A042F" w:rsidRDefault="005A042F" w:rsidP="005A042F">
      <w:pPr>
        <w:numPr>
          <w:ilvl w:val="0"/>
          <w:numId w:val="4"/>
        </w:numPr>
      </w:pPr>
      <w:r w:rsidRPr="005A042F">
        <w:rPr>
          <w:b/>
          <w:bCs/>
        </w:rPr>
        <w:t>出口戦略</w:t>
      </w:r>
      <w:r w:rsidR="001527A4">
        <w:rPr>
          <w:rFonts w:hint="eastAsia"/>
        </w:rPr>
        <w:t>：</w:t>
      </w:r>
      <w:r w:rsidRPr="005A042F">
        <w:t>開業した場合は、事業承継やクリニックの売却（M&amp;A）による創業者利益を退職金代わりにする視点も、2026年現在のトレンドとして重要視されています。 </w:t>
      </w:r>
    </w:p>
    <w:p w14:paraId="6FE59741" w14:textId="174CA685" w:rsidR="005A042F" w:rsidRPr="005A042F" w:rsidRDefault="00EE6F5D" w:rsidP="005A042F">
      <w:pPr>
        <w:rPr>
          <w:b/>
          <w:bCs/>
        </w:rPr>
      </w:pPr>
      <w:r>
        <w:rPr>
          <w:rFonts w:hint="eastAsia"/>
          <w:b/>
          <w:bCs/>
        </w:rPr>
        <w:t>③</w:t>
      </w:r>
      <w:r w:rsidR="00C37250">
        <w:rPr>
          <w:rFonts w:hint="eastAsia"/>
          <w:b/>
          <w:bCs/>
        </w:rPr>
        <w:t xml:space="preserve"> </w:t>
      </w:r>
      <w:r w:rsidR="005A042F" w:rsidRPr="005A042F">
        <w:rPr>
          <w:b/>
          <w:bCs/>
        </w:rPr>
        <w:t>2026年の留意点</w:t>
      </w:r>
    </w:p>
    <w:p w14:paraId="55E89A03" w14:textId="723F32CE" w:rsidR="005A042F" w:rsidRPr="005A042F" w:rsidRDefault="005A042F" w:rsidP="005A042F">
      <w:pPr>
        <w:numPr>
          <w:ilvl w:val="0"/>
          <w:numId w:val="5"/>
        </w:numPr>
      </w:pPr>
      <w:r w:rsidRPr="005A042F">
        <w:rPr>
          <w:b/>
          <w:bCs/>
        </w:rPr>
        <w:t>働き方改革の影響</w:t>
      </w:r>
      <w:r w:rsidR="001527A4">
        <w:rPr>
          <w:rFonts w:hint="eastAsia"/>
        </w:rPr>
        <w:t>：</w:t>
      </w:r>
      <w:r w:rsidRPr="005A042F">
        <w:t>2024年から開始された「医師の働き方改革」により、時間外労働の上限規制（原則年960時間）が定着しています。以前のような「当直バイトで稼ぐ」モデルが難しくなっているため、より一層、効率的な資産運用による「入りの最大化」が求められています。</w:t>
      </w:r>
    </w:p>
    <w:p w14:paraId="325265B5" w14:textId="77777777" w:rsidR="00C37250" w:rsidRDefault="00C37250" w:rsidP="005A042F"/>
    <w:p w14:paraId="7F9F5417" w14:textId="3D9C5AC1" w:rsidR="005A042F" w:rsidRPr="005A042F" w:rsidRDefault="005A042F" w:rsidP="005A042F">
      <w:r w:rsidRPr="005A042F">
        <w:t>まずは</w:t>
      </w:r>
      <w:r w:rsidR="001527A4">
        <w:rPr>
          <w:rFonts w:hint="eastAsia"/>
        </w:rPr>
        <w:t>、</w:t>
      </w:r>
      <w:bookmarkStart w:id="1" w:name="_Hlk219275515"/>
      <w:r w:rsidR="001527A4">
        <w:rPr>
          <w:rFonts w:hint="eastAsia"/>
        </w:rPr>
        <w:t>保険医年金・</w:t>
      </w:r>
      <w:proofErr w:type="spellStart"/>
      <w:r w:rsidR="001527A4" w:rsidRPr="001527A4">
        <w:t>iDeCo</w:t>
      </w:r>
      <w:bookmarkEnd w:id="1"/>
      <w:proofErr w:type="spellEnd"/>
      <w:r w:rsidR="001527A4" w:rsidRPr="001527A4">
        <w:t xml:space="preserve"> </w:t>
      </w:r>
      <w:r w:rsidR="001527A4">
        <w:rPr>
          <w:rFonts w:hint="eastAsia"/>
        </w:rPr>
        <w:t>・</w:t>
      </w:r>
      <w:r w:rsidRPr="005A042F">
        <w:t>NISAの</w:t>
      </w:r>
      <w:r w:rsidR="001527A4">
        <w:rPr>
          <w:rFonts w:hint="eastAsia"/>
        </w:rPr>
        <w:t>加入条件を把握してその</w:t>
      </w:r>
      <w:r w:rsidRPr="005A042F">
        <w:t>枠</w:t>
      </w:r>
      <w:r w:rsidR="001527A4">
        <w:rPr>
          <w:rFonts w:hint="eastAsia"/>
        </w:rPr>
        <w:t>内でバランスよく配分することか</w:t>
      </w:r>
      <w:r w:rsidRPr="005A042F">
        <w:t>ら始め、余剰資金を不動産や</w:t>
      </w:r>
      <w:r w:rsidR="001527A4">
        <w:rPr>
          <w:rFonts w:hint="eastAsia"/>
        </w:rPr>
        <w:t>投資信託・株式個別銘柄</w:t>
      </w:r>
      <w:r w:rsidRPr="005A042F">
        <w:t>へ振り分けるのが、最もリスクを抑えた堅実なステップです。</w:t>
      </w:r>
    </w:p>
    <w:p w14:paraId="13B439BC" w14:textId="77777777" w:rsidR="00003A40" w:rsidRPr="00AC5F2A" w:rsidRDefault="00003A40"/>
    <w:p w14:paraId="1E16EE3D" w14:textId="77777777" w:rsidR="00003A40" w:rsidRPr="00003A40" w:rsidRDefault="00003A40" w:rsidP="00003A40">
      <w:pPr>
        <w:rPr>
          <w:b/>
          <w:bCs/>
          <w:color w:val="EE0000"/>
        </w:rPr>
      </w:pPr>
      <w:r w:rsidRPr="00003A40">
        <w:rPr>
          <w:b/>
          <w:bCs/>
          <w:color w:val="EE0000"/>
        </w:rPr>
        <w:t>実際の選択は、家族構成・年齢・リスク許容度によって大きく異なります。必要に応じて専門家への相談も検討しましょう。</w:t>
      </w:r>
    </w:p>
    <w:p w14:paraId="1A42A41E" w14:textId="77777777" w:rsidR="00003A40" w:rsidRPr="00003A40" w:rsidRDefault="00003A40"/>
    <w:sectPr w:rsidR="00003A40" w:rsidRPr="00003A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C273" w14:textId="77777777" w:rsidR="005E0611" w:rsidRDefault="005E0611" w:rsidP="00440C4F">
      <w:r>
        <w:separator/>
      </w:r>
    </w:p>
  </w:endnote>
  <w:endnote w:type="continuationSeparator" w:id="0">
    <w:p w14:paraId="7715E726" w14:textId="77777777" w:rsidR="005E0611" w:rsidRDefault="005E0611" w:rsidP="0044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2A5E" w14:textId="77777777" w:rsidR="005E0611" w:rsidRDefault="005E0611" w:rsidP="00440C4F">
      <w:r>
        <w:separator/>
      </w:r>
    </w:p>
  </w:footnote>
  <w:footnote w:type="continuationSeparator" w:id="0">
    <w:p w14:paraId="15826ACA" w14:textId="77777777" w:rsidR="005E0611" w:rsidRDefault="005E0611" w:rsidP="0044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0E4"/>
    <w:multiLevelType w:val="multilevel"/>
    <w:tmpl w:val="19EA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5C37"/>
    <w:multiLevelType w:val="multilevel"/>
    <w:tmpl w:val="C97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97E02"/>
    <w:multiLevelType w:val="multilevel"/>
    <w:tmpl w:val="B5EA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E0533"/>
    <w:multiLevelType w:val="multilevel"/>
    <w:tmpl w:val="69369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03064"/>
    <w:multiLevelType w:val="multilevel"/>
    <w:tmpl w:val="4E4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153881">
    <w:abstractNumId w:val="3"/>
  </w:num>
  <w:num w:numId="2" w16cid:durableId="577058179">
    <w:abstractNumId w:val="1"/>
  </w:num>
  <w:num w:numId="3" w16cid:durableId="212086583">
    <w:abstractNumId w:val="2"/>
  </w:num>
  <w:num w:numId="4" w16cid:durableId="2115981319">
    <w:abstractNumId w:val="0"/>
  </w:num>
  <w:num w:numId="5" w16cid:durableId="219827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2F"/>
    <w:rsid w:val="00003A40"/>
    <w:rsid w:val="0001283E"/>
    <w:rsid w:val="00020B86"/>
    <w:rsid w:val="00023E53"/>
    <w:rsid w:val="00024152"/>
    <w:rsid w:val="00030B9D"/>
    <w:rsid w:val="0003344A"/>
    <w:rsid w:val="00035347"/>
    <w:rsid w:val="00035635"/>
    <w:rsid w:val="00036362"/>
    <w:rsid w:val="000368F5"/>
    <w:rsid w:val="000375CA"/>
    <w:rsid w:val="000422B4"/>
    <w:rsid w:val="00053061"/>
    <w:rsid w:val="00053D20"/>
    <w:rsid w:val="000541CE"/>
    <w:rsid w:val="000564FC"/>
    <w:rsid w:val="00060BCC"/>
    <w:rsid w:val="00071B6D"/>
    <w:rsid w:val="00073C3E"/>
    <w:rsid w:val="000763BC"/>
    <w:rsid w:val="000A7F69"/>
    <w:rsid w:val="000C0790"/>
    <w:rsid w:val="000C2640"/>
    <w:rsid w:val="000D1A5E"/>
    <w:rsid w:val="000D212A"/>
    <w:rsid w:val="000D2E69"/>
    <w:rsid w:val="000E2D4A"/>
    <w:rsid w:val="000F0365"/>
    <w:rsid w:val="000F2B91"/>
    <w:rsid w:val="00102530"/>
    <w:rsid w:val="00102A07"/>
    <w:rsid w:val="001126E5"/>
    <w:rsid w:val="00112FA6"/>
    <w:rsid w:val="00122F94"/>
    <w:rsid w:val="00125C9D"/>
    <w:rsid w:val="00140FCF"/>
    <w:rsid w:val="001527A4"/>
    <w:rsid w:val="001550FB"/>
    <w:rsid w:val="001557A5"/>
    <w:rsid w:val="00167513"/>
    <w:rsid w:val="00174F96"/>
    <w:rsid w:val="00177004"/>
    <w:rsid w:val="001801EC"/>
    <w:rsid w:val="001819EF"/>
    <w:rsid w:val="00192937"/>
    <w:rsid w:val="001B4EB4"/>
    <w:rsid w:val="001B5234"/>
    <w:rsid w:val="001B5EB1"/>
    <w:rsid w:val="001B7817"/>
    <w:rsid w:val="001B786B"/>
    <w:rsid w:val="001C068A"/>
    <w:rsid w:val="001C0FF0"/>
    <w:rsid w:val="001C264B"/>
    <w:rsid w:val="001C3B87"/>
    <w:rsid w:val="001E0213"/>
    <w:rsid w:val="001E1ECA"/>
    <w:rsid w:val="001E4AB0"/>
    <w:rsid w:val="001E5546"/>
    <w:rsid w:val="001E6D30"/>
    <w:rsid w:val="001F19A6"/>
    <w:rsid w:val="001F6FD2"/>
    <w:rsid w:val="0020504F"/>
    <w:rsid w:val="002050D9"/>
    <w:rsid w:val="00207285"/>
    <w:rsid w:val="00207DC7"/>
    <w:rsid w:val="002142AF"/>
    <w:rsid w:val="00215187"/>
    <w:rsid w:val="00217807"/>
    <w:rsid w:val="00220BB1"/>
    <w:rsid w:val="0023138C"/>
    <w:rsid w:val="00232FE2"/>
    <w:rsid w:val="00237001"/>
    <w:rsid w:val="002419B7"/>
    <w:rsid w:val="00244CE3"/>
    <w:rsid w:val="00246E01"/>
    <w:rsid w:val="00256B74"/>
    <w:rsid w:val="00261682"/>
    <w:rsid w:val="00265D7D"/>
    <w:rsid w:val="002668C8"/>
    <w:rsid w:val="00271AD5"/>
    <w:rsid w:val="00273FB2"/>
    <w:rsid w:val="00285808"/>
    <w:rsid w:val="0028611B"/>
    <w:rsid w:val="00296B86"/>
    <w:rsid w:val="002A4099"/>
    <w:rsid w:val="002A6A7C"/>
    <w:rsid w:val="002B30C9"/>
    <w:rsid w:val="002B5C5F"/>
    <w:rsid w:val="002C0F9A"/>
    <w:rsid w:val="002D0073"/>
    <w:rsid w:val="002D1D2A"/>
    <w:rsid w:val="002D6CF0"/>
    <w:rsid w:val="002D7DBC"/>
    <w:rsid w:val="002E051B"/>
    <w:rsid w:val="002E345A"/>
    <w:rsid w:val="002E3B94"/>
    <w:rsid w:val="002F22CB"/>
    <w:rsid w:val="002F7039"/>
    <w:rsid w:val="0030390C"/>
    <w:rsid w:val="00305E11"/>
    <w:rsid w:val="00315E43"/>
    <w:rsid w:val="00316438"/>
    <w:rsid w:val="00316DE3"/>
    <w:rsid w:val="003206DD"/>
    <w:rsid w:val="00321793"/>
    <w:rsid w:val="0032205D"/>
    <w:rsid w:val="003337E0"/>
    <w:rsid w:val="00334D21"/>
    <w:rsid w:val="003408E6"/>
    <w:rsid w:val="00341AF8"/>
    <w:rsid w:val="00342CA8"/>
    <w:rsid w:val="00342D6A"/>
    <w:rsid w:val="00346A8B"/>
    <w:rsid w:val="00355153"/>
    <w:rsid w:val="00360E93"/>
    <w:rsid w:val="0036262D"/>
    <w:rsid w:val="003648CE"/>
    <w:rsid w:val="00374BB8"/>
    <w:rsid w:val="003833ED"/>
    <w:rsid w:val="00391C2A"/>
    <w:rsid w:val="0039247C"/>
    <w:rsid w:val="00393423"/>
    <w:rsid w:val="003A35AE"/>
    <w:rsid w:val="003A515A"/>
    <w:rsid w:val="003B1357"/>
    <w:rsid w:val="003B6723"/>
    <w:rsid w:val="003C7ADB"/>
    <w:rsid w:val="003D2C79"/>
    <w:rsid w:val="003D7925"/>
    <w:rsid w:val="003E1A02"/>
    <w:rsid w:val="003E4711"/>
    <w:rsid w:val="003E4B05"/>
    <w:rsid w:val="003F4407"/>
    <w:rsid w:val="003F622A"/>
    <w:rsid w:val="00401AC3"/>
    <w:rsid w:val="00401DBE"/>
    <w:rsid w:val="00403FD5"/>
    <w:rsid w:val="00406F0C"/>
    <w:rsid w:val="00410703"/>
    <w:rsid w:val="004148F3"/>
    <w:rsid w:val="00423409"/>
    <w:rsid w:val="00427D1D"/>
    <w:rsid w:val="00433ADD"/>
    <w:rsid w:val="00440C4F"/>
    <w:rsid w:val="00443F71"/>
    <w:rsid w:val="004452A8"/>
    <w:rsid w:val="00451224"/>
    <w:rsid w:val="00457F98"/>
    <w:rsid w:val="00464DBD"/>
    <w:rsid w:val="00466296"/>
    <w:rsid w:val="00466854"/>
    <w:rsid w:val="00471BDB"/>
    <w:rsid w:val="0047413E"/>
    <w:rsid w:val="004810A4"/>
    <w:rsid w:val="00481E02"/>
    <w:rsid w:val="0048510D"/>
    <w:rsid w:val="00490E1C"/>
    <w:rsid w:val="004A1548"/>
    <w:rsid w:val="004A7CF2"/>
    <w:rsid w:val="004B15B5"/>
    <w:rsid w:val="004B6CC6"/>
    <w:rsid w:val="004C0A02"/>
    <w:rsid w:val="004C0F3B"/>
    <w:rsid w:val="004C35B5"/>
    <w:rsid w:val="004D2296"/>
    <w:rsid w:val="004D2C6A"/>
    <w:rsid w:val="004E14ED"/>
    <w:rsid w:val="004F375F"/>
    <w:rsid w:val="004F53D8"/>
    <w:rsid w:val="00505607"/>
    <w:rsid w:val="00505645"/>
    <w:rsid w:val="00506EA6"/>
    <w:rsid w:val="00512147"/>
    <w:rsid w:val="005132D2"/>
    <w:rsid w:val="00515919"/>
    <w:rsid w:val="00523A08"/>
    <w:rsid w:val="00525E74"/>
    <w:rsid w:val="00530257"/>
    <w:rsid w:val="005350A3"/>
    <w:rsid w:val="00540B2C"/>
    <w:rsid w:val="00540FF7"/>
    <w:rsid w:val="00542816"/>
    <w:rsid w:val="00554265"/>
    <w:rsid w:val="0055448A"/>
    <w:rsid w:val="00555FFA"/>
    <w:rsid w:val="00567EC7"/>
    <w:rsid w:val="00570BB8"/>
    <w:rsid w:val="00572C47"/>
    <w:rsid w:val="00572F9F"/>
    <w:rsid w:val="00575F6A"/>
    <w:rsid w:val="00583C8C"/>
    <w:rsid w:val="0058723B"/>
    <w:rsid w:val="0059431E"/>
    <w:rsid w:val="00594F22"/>
    <w:rsid w:val="005951CA"/>
    <w:rsid w:val="005A042F"/>
    <w:rsid w:val="005A4377"/>
    <w:rsid w:val="005B18CF"/>
    <w:rsid w:val="005B2BE1"/>
    <w:rsid w:val="005C7A6D"/>
    <w:rsid w:val="005E0611"/>
    <w:rsid w:val="005E4FEF"/>
    <w:rsid w:val="005E5888"/>
    <w:rsid w:val="005F036E"/>
    <w:rsid w:val="005F751B"/>
    <w:rsid w:val="00600C33"/>
    <w:rsid w:val="0060281E"/>
    <w:rsid w:val="00602CA9"/>
    <w:rsid w:val="00606B33"/>
    <w:rsid w:val="00611569"/>
    <w:rsid w:val="00612B9E"/>
    <w:rsid w:val="00616D0F"/>
    <w:rsid w:val="00622D1B"/>
    <w:rsid w:val="0062541E"/>
    <w:rsid w:val="00647151"/>
    <w:rsid w:val="00653D54"/>
    <w:rsid w:val="006549BC"/>
    <w:rsid w:val="0066139D"/>
    <w:rsid w:val="00670E52"/>
    <w:rsid w:val="006713DC"/>
    <w:rsid w:val="00674BFE"/>
    <w:rsid w:val="006755F4"/>
    <w:rsid w:val="006757ED"/>
    <w:rsid w:val="006840B4"/>
    <w:rsid w:val="0069476C"/>
    <w:rsid w:val="006A017D"/>
    <w:rsid w:val="006A1454"/>
    <w:rsid w:val="006A6FDC"/>
    <w:rsid w:val="006A708E"/>
    <w:rsid w:val="006C07D6"/>
    <w:rsid w:val="006C18D8"/>
    <w:rsid w:val="006D17E0"/>
    <w:rsid w:val="006E1CAE"/>
    <w:rsid w:val="006E4694"/>
    <w:rsid w:val="006E5C58"/>
    <w:rsid w:val="006F4907"/>
    <w:rsid w:val="0070170A"/>
    <w:rsid w:val="00703734"/>
    <w:rsid w:val="00713140"/>
    <w:rsid w:val="00723AC0"/>
    <w:rsid w:val="007259EA"/>
    <w:rsid w:val="00725BAD"/>
    <w:rsid w:val="00740BA4"/>
    <w:rsid w:val="00752464"/>
    <w:rsid w:val="007546F2"/>
    <w:rsid w:val="00761558"/>
    <w:rsid w:val="007618BE"/>
    <w:rsid w:val="007656C0"/>
    <w:rsid w:val="00766071"/>
    <w:rsid w:val="007708F0"/>
    <w:rsid w:val="00777C64"/>
    <w:rsid w:val="00783FBD"/>
    <w:rsid w:val="007915DC"/>
    <w:rsid w:val="00793468"/>
    <w:rsid w:val="00795A04"/>
    <w:rsid w:val="0079744F"/>
    <w:rsid w:val="007A13F4"/>
    <w:rsid w:val="007B20D6"/>
    <w:rsid w:val="007B28F5"/>
    <w:rsid w:val="007B4458"/>
    <w:rsid w:val="007B75FE"/>
    <w:rsid w:val="007C0154"/>
    <w:rsid w:val="007C0850"/>
    <w:rsid w:val="007C7647"/>
    <w:rsid w:val="007D0D02"/>
    <w:rsid w:val="007D0DCA"/>
    <w:rsid w:val="007E0318"/>
    <w:rsid w:val="007E0395"/>
    <w:rsid w:val="007E07AF"/>
    <w:rsid w:val="007E2619"/>
    <w:rsid w:val="007E60BC"/>
    <w:rsid w:val="007F25A6"/>
    <w:rsid w:val="00811B0B"/>
    <w:rsid w:val="00811D63"/>
    <w:rsid w:val="00812242"/>
    <w:rsid w:val="00813A2F"/>
    <w:rsid w:val="00823B91"/>
    <w:rsid w:val="00826D66"/>
    <w:rsid w:val="008342C4"/>
    <w:rsid w:val="008345C2"/>
    <w:rsid w:val="00835B85"/>
    <w:rsid w:val="00856F9F"/>
    <w:rsid w:val="00863EAE"/>
    <w:rsid w:val="00864193"/>
    <w:rsid w:val="00865085"/>
    <w:rsid w:val="0086531B"/>
    <w:rsid w:val="00866BB4"/>
    <w:rsid w:val="0086790C"/>
    <w:rsid w:val="008710D7"/>
    <w:rsid w:val="00872F6D"/>
    <w:rsid w:val="0088675D"/>
    <w:rsid w:val="00896519"/>
    <w:rsid w:val="008A223E"/>
    <w:rsid w:val="008A6495"/>
    <w:rsid w:val="008B1605"/>
    <w:rsid w:val="008C43C4"/>
    <w:rsid w:val="008C538C"/>
    <w:rsid w:val="008C7841"/>
    <w:rsid w:val="008D030D"/>
    <w:rsid w:val="008D73B3"/>
    <w:rsid w:val="008E2FDF"/>
    <w:rsid w:val="008E38CC"/>
    <w:rsid w:val="008F1317"/>
    <w:rsid w:val="0090288A"/>
    <w:rsid w:val="00906E29"/>
    <w:rsid w:val="00910364"/>
    <w:rsid w:val="009107A1"/>
    <w:rsid w:val="0091099D"/>
    <w:rsid w:val="009149A6"/>
    <w:rsid w:val="00915F1D"/>
    <w:rsid w:val="00917740"/>
    <w:rsid w:val="00924457"/>
    <w:rsid w:val="00930087"/>
    <w:rsid w:val="0093174E"/>
    <w:rsid w:val="009325D6"/>
    <w:rsid w:val="00933DEC"/>
    <w:rsid w:val="00934331"/>
    <w:rsid w:val="00940D6C"/>
    <w:rsid w:val="00942AC9"/>
    <w:rsid w:val="009454E1"/>
    <w:rsid w:val="00950917"/>
    <w:rsid w:val="00952BC7"/>
    <w:rsid w:val="00953D58"/>
    <w:rsid w:val="00956F81"/>
    <w:rsid w:val="0096381C"/>
    <w:rsid w:val="009723EC"/>
    <w:rsid w:val="00974754"/>
    <w:rsid w:val="00976202"/>
    <w:rsid w:val="00977075"/>
    <w:rsid w:val="0098285F"/>
    <w:rsid w:val="009859BA"/>
    <w:rsid w:val="0098739A"/>
    <w:rsid w:val="009A3E96"/>
    <w:rsid w:val="009A463E"/>
    <w:rsid w:val="009B2882"/>
    <w:rsid w:val="009B2A17"/>
    <w:rsid w:val="009B429E"/>
    <w:rsid w:val="009B7CF3"/>
    <w:rsid w:val="009C7BE2"/>
    <w:rsid w:val="009D33B1"/>
    <w:rsid w:val="009D73DC"/>
    <w:rsid w:val="009E1C9B"/>
    <w:rsid w:val="00A01363"/>
    <w:rsid w:val="00A01A45"/>
    <w:rsid w:val="00A05C74"/>
    <w:rsid w:val="00A1553B"/>
    <w:rsid w:val="00A206C8"/>
    <w:rsid w:val="00A22C06"/>
    <w:rsid w:val="00A23CE6"/>
    <w:rsid w:val="00A25BCD"/>
    <w:rsid w:val="00A3488C"/>
    <w:rsid w:val="00A44B76"/>
    <w:rsid w:val="00A4627C"/>
    <w:rsid w:val="00A46289"/>
    <w:rsid w:val="00A478E8"/>
    <w:rsid w:val="00A47F21"/>
    <w:rsid w:val="00A51B02"/>
    <w:rsid w:val="00A56268"/>
    <w:rsid w:val="00A609DF"/>
    <w:rsid w:val="00A61B7D"/>
    <w:rsid w:val="00A639CF"/>
    <w:rsid w:val="00A6733D"/>
    <w:rsid w:val="00A67CD9"/>
    <w:rsid w:val="00A67D5E"/>
    <w:rsid w:val="00A74850"/>
    <w:rsid w:val="00A75A91"/>
    <w:rsid w:val="00A779A2"/>
    <w:rsid w:val="00A84834"/>
    <w:rsid w:val="00A91834"/>
    <w:rsid w:val="00A926B2"/>
    <w:rsid w:val="00A94C5B"/>
    <w:rsid w:val="00A97873"/>
    <w:rsid w:val="00AA20BF"/>
    <w:rsid w:val="00AB4121"/>
    <w:rsid w:val="00AC1A29"/>
    <w:rsid w:val="00AC5F2A"/>
    <w:rsid w:val="00AD59B8"/>
    <w:rsid w:val="00AD74B7"/>
    <w:rsid w:val="00AE2551"/>
    <w:rsid w:val="00AE746F"/>
    <w:rsid w:val="00AE768A"/>
    <w:rsid w:val="00B057DD"/>
    <w:rsid w:val="00B06120"/>
    <w:rsid w:val="00B063BF"/>
    <w:rsid w:val="00B06889"/>
    <w:rsid w:val="00B0761B"/>
    <w:rsid w:val="00B11424"/>
    <w:rsid w:val="00B11737"/>
    <w:rsid w:val="00B1328F"/>
    <w:rsid w:val="00B13820"/>
    <w:rsid w:val="00B14BCB"/>
    <w:rsid w:val="00B15717"/>
    <w:rsid w:val="00B15A4C"/>
    <w:rsid w:val="00B20748"/>
    <w:rsid w:val="00B21DA7"/>
    <w:rsid w:val="00B27902"/>
    <w:rsid w:val="00B32ABA"/>
    <w:rsid w:val="00B3386F"/>
    <w:rsid w:val="00B33D8C"/>
    <w:rsid w:val="00B36494"/>
    <w:rsid w:val="00B42B2E"/>
    <w:rsid w:val="00B61E61"/>
    <w:rsid w:val="00B62BF2"/>
    <w:rsid w:val="00B63ACC"/>
    <w:rsid w:val="00B67363"/>
    <w:rsid w:val="00B77590"/>
    <w:rsid w:val="00B81E5D"/>
    <w:rsid w:val="00B81F3C"/>
    <w:rsid w:val="00B82C96"/>
    <w:rsid w:val="00B84016"/>
    <w:rsid w:val="00B9051E"/>
    <w:rsid w:val="00B9274F"/>
    <w:rsid w:val="00B93597"/>
    <w:rsid w:val="00BA0485"/>
    <w:rsid w:val="00BA5A4C"/>
    <w:rsid w:val="00BB3E1B"/>
    <w:rsid w:val="00BB4DC7"/>
    <w:rsid w:val="00BB4FA8"/>
    <w:rsid w:val="00BB74AE"/>
    <w:rsid w:val="00BC11D2"/>
    <w:rsid w:val="00BC1FD0"/>
    <w:rsid w:val="00BC636C"/>
    <w:rsid w:val="00BE3308"/>
    <w:rsid w:val="00BE65F5"/>
    <w:rsid w:val="00BE697C"/>
    <w:rsid w:val="00BE7D01"/>
    <w:rsid w:val="00BF06CC"/>
    <w:rsid w:val="00BF596A"/>
    <w:rsid w:val="00BF72F3"/>
    <w:rsid w:val="00BF73B4"/>
    <w:rsid w:val="00BF7C35"/>
    <w:rsid w:val="00C1161D"/>
    <w:rsid w:val="00C27C27"/>
    <w:rsid w:val="00C37250"/>
    <w:rsid w:val="00C45296"/>
    <w:rsid w:val="00C455CB"/>
    <w:rsid w:val="00C4654B"/>
    <w:rsid w:val="00C66986"/>
    <w:rsid w:val="00C72294"/>
    <w:rsid w:val="00C723A9"/>
    <w:rsid w:val="00C80A05"/>
    <w:rsid w:val="00C84118"/>
    <w:rsid w:val="00C8416D"/>
    <w:rsid w:val="00C93F64"/>
    <w:rsid w:val="00C943F8"/>
    <w:rsid w:val="00CA125E"/>
    <w:rsid w:val="00CB44F5"/>
    <w:rsid w:val="00CC46A9"/>
    <w:rsid w:val="00CC76F3"/>
    <w:rsid w:val="00CD1568"/>
    <w:rsid w:val="00CD33EC"/>
    <w:rsid w:val="00CD56D9"/>
    <w:rsid w:val="00CD7853"/>
    <w:rsid w:val="00CE08B7"/>
    <w:rsid w:val="00CE469B"/>
    <w:rsid w:val="00CF6B1B"/>
    <w:rsid w:val="00CF7976"/>
    <w:rsid w:val="00D04252"/>
    <w:rsid w:val="00D06FE9"/>
    <w:rsid w:val="00D12F11"/>
    <w:rsid w:val="00D15DE3"/>
    <w:rsid w:val="00D220DC"/>
    <w:rsid w:val="00D231AE"/>
    <w:rsid w:val="00D31E6A"/>
    <w:rsid w:val="00D34FAF"/>
    <w:rsid w:val="00D41287"/>
    <w:rsid w:val="00D430B5"/>
    <w:rsid w:val="00D4327C"/>
    <w:rsid w:val="00D4439B"/>
    <w:rsid w:val="00D451F4"/>
    <w:rsid w:val="00D464AA"/>
    <w:rsid w:val="00D4769F"/>
    <w:rsid w:val="00D50036"/>
    <w:rsid w:val="00D50B5F"/>
    <w:rsid w:val="00D5142B"/>
    <w:rsid w:val="00D54363"/>
    <w:rsid w:val="00D634B2"/>
    <w:rsid w:val="00D655AE"/>
    <w:rsid w:val="00D701C1"/>
    <w:rsid w:val="00D80CF9"/>
    <w:rsid w:val="00D819D2"/>
    <w:rsid w:val="00D85C5E"/>
    <w:rsid w:val="00D87020"/>
    <w:rsid w:val="00D90521"/>
    <w:rsid w:val="00D91606"/>
    <w:rsid w:val="00DC0C17"/>
    <w:rsid w:val="00DC101B"/>
    <w:rsid w:val="00DC1884"/>
    <w:rsid w:val="00DD3490"/>
    <w:rsid w:val="00DD44F7"/>
    <w:rsid w:val="00DD6742"/>
    <w:rsid w:val="00DE3590"/>
    <w:rsid w:val="00DF1362"/>
    <w:rsid w:val="00DF4FB0"/>
    <w:rsid w:val="00DF7549"/>
    <w:rsid w:val="00DF7B80"/>
    <w:rsid w:val="00E0739C"/>
    <w:rsid w:val="00E07C07"/>
    <w:rsid w:val="00E1266D"/>
    <w:rsid w:val="00E134DD"/>
    <w:rsid w:val="00E245B5"/>
    <w:rsid w:val="00E3273C"/>
    <w:rsid w:val="00E40973"/>
    <w:rsid w:val="00E47FA8"/>
    <w:rsid w:val="00E56BEC"/>
    <w:rsid w:val="00E56D34"/>
    <w:rsid w:val="00E573E3"/>
    <w:rsid w:val="00E60CC3"/>
    <w:rsid w:val="00E61A72"/>
    <w:rsid w:val="00E64685"/>
    <w:rsid w:val="00E65862"/>
    <w:rsid w:val="00E71136"/>
    <w:rsid w:val="00E86CB2"/>
    <w:rsid w:val="00EA11F8"/>
    <w:rsid w:val="00EA2FBC"/>
    <w:rsid w:val="00EA32C7"/>
    <w:rsid w:val="00EB17C7"/>
    <w:rsid w:val="00EB1814"/>
    <w:rsid w:val="00EB5B2D"/>
    <w:rsid w:val="00EB77C4"/>
    <w:rsid w:val="00EC3CBE"/>
    <w:rsid w:val="00ED585B"/>
    <w:rsid w:val="00EE0F1F"/>
    <w:rsid w:val="00EE5278"/>
    <w:rsid w:val="00EE6F5D"/>
    <w:rsid w:val="00EF0100"/>
    <w:rsid w:val="00EF531F"/>
    <w:rsid w:val="00F042B7"/>
    <w:rsid w:val="00F04328"/>
    <w:rsid w:val="00F06036"/>
    <w:rsid w:val="00F16792"/>
    <w:rsid w:val="00F23429"/>
    <w:rsid w:val="00F23DBD"/>
    <w:rsid w:val="00F3179F"/>
    <w:rsid w:val="00F33A28"/>
    <w:rsid w:val="00F411A5"/>
    <w:rsid w:val="00F46C59"/>
    <w:rsid w:val="00F46CEC"/>
    <w:rsid w:val="00F51791"/>
    <w:rsid w:val="00F54465"/>
    <w:rsid w:val="00F619A8"/>
    <w:rsid w:val="00F65E0C"/>
    <w:rsid w:val="00F67245"/>
    <w:rsid w:val="00F76AB2"/>
    <w:rsid w:val="00F900F6"/>
    <w:rsid w:val="00F925F8"/>
    <w:rsid w:val="00F9536A"/>
    <w:rsid w:val="00F97721"/>
    <w:rsid w:val="00FB3590"/>
    <w:rsid w:val="00FC5327"/>
    <w:rsid w:val="00FD342C"/>
    <w:rsid w:val="00FD7E95"/>
    <w:rsid w:val="00FE3416"/>
    <w:rsid w:val="00FE6D0A"/>
    <w:rsid w:val="00FE779E"/>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AA99F"/>
  <w15:chartTrackingRefBased/>
  <w15:docId w15:val="{6D02E77A-0246-4EA9-9567-3278D80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04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04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04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04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04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04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04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04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04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04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04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04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04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04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04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04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04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04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04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0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4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0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42F"/>
    <w:pPr>
      <w:spacing w:before="160" w:after="160"/>
      <w:jc w:val="center"/>
    </w:pPr>
    <w:rPr>
      <w:i/>
      <w:iCs/>
      <w:color w:val="404040" w:themeColor="text1" w:themeTint="BF"/>
    </w:rPr>
  </w:style>
  <w:style w:type="character" w:customStyle="1" w:styleId="a8">
    <w:name w:val="引用文 (文字)"/>
    <w:basedOn w:val="a0"/>
    <w:link w:val="a7"/>
    <w:uiPriority w:val="29"/>
    <w:rsid w:val="005A042F"/>
    <w:rPr>
      <w:i/>
      <w:iCs/>
      <w:color w:val="404040" w:themeColor="text1" w:themeTint="BF"/>
    </w:rPr>
  </w:style>
  <w:style w:type="paragraph" w:styleId="a9">
    <w:name w:val="List Paragraph"/>
    <w:basedOn w:val="a"/>
    <w:uiPriority w:val="34"/>
    <w:qFormat/>
    <w:rsid w:val="005A042F"/>
    <w:pPr>
      <w:ind w:left="720"/>
      <w:contextualSpacing/>
    </w:pPr>
  </w:style>
  <w:style w:type="character" w:styleId="21">
    <w:name w:val="Intense Emphasis"/>
    <w:basedOn w:val="a0"/>
    <w:uiPriority w:val="21"/>
    <w:qFormat/>
    <w:rsid w:val="005A042F"/>
    <w:rPr>
      <w:i/>
      <w:iCs/>
      <w:color w:val="2F5496" w:themeColor="accent1" w:themeShade="BF"/>
    </w:rPr>
  </w:style>
  <w:style w:type="paragraph" w:styleId="22">
    <w:name w:val="Intense Quote"/>
    <w:basedOn w:val="a"/>
    <w:next w:val="a"/>
    <w:link w:val="23"/>
    <w:uiPriority w:val="30"/>
    <w:qFormat/>
    <w:rsid w:val="005A0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A042F"/>
    <w:rPr>
      <w:i/>
      <w:iCs/>
      <w:color w:val="2F5496" w:themeColor="accent1" w:themeShade="BF"/>
    </w:rPr>
  </w:style>
  <w:style w:type="character" w:styleId="24">
    <w:name w:val="Intense Reference"/>
    <w:basedOn w:val="a0"/>
    <w:uiPriority w:val="32"/>
    <w:qFormat/>
    <w:rsid w:val="005A042F"/>
    <w:rPr>
      <w:b/>
      <w:bCs/>
      <w:smallCaps/>
      <w:color w:val="2F5496" w:themeColor="accent1" w:themeShade="BF"/>
      <w:spacing w:val="5"/>
    </w:rPr>
  </w:style>
  <w:style w:type="paragraph" w:styleId="aa">
    <w:name w:val="header"/>
    <w:basedOn w:val="a"/>
    <w:link w:val="ab"/>
    <w:uiPriority w:val="99"/>
    <w:unhideWhenUsed/>
    <w:rsid w:val="00440C4F"/>
    <w:pPr>
      <w:tabs>
        <w:tab w:val="center" w:pos="4252"/>
        <w:tab w:val="right" w:pos="8504"/>
      </w:tabs>
      <w:snapToGrid w:val="0"/>
    </w:pPr>
  </w:style>
  <w:style w:type="character" w:customStyle="1" w:styleId="ab">
    <w:name w:val="ヘッダー (文字)"/>
    <w:basedOn w:val="a0"/>
    <w:link w:val="aa"/>
    <w:uiPriority w:val="99"/>
    <w:rsid w:val="00440C4F"/>
  </w:style>
  <w:style w:type="paragraph" w:styleId="ac">
    <w:name w:val="footer"/>
    <w:basedOn w:val="a"/>
    <w:link w:val="ad"/>
    <w:uiPriority w:val="99"/>
    <w:unhideWhenUsed/>
    <w:rsid w:val="00440C4F"/>
    <w:pPr>
      <w:tabs>
        <w:tab w:val="center" w:pos="4252"/>
        <w:tab w:val="right" w:pos="8504"/>
      </w:tabs>
      <w:snapToGrid w:val="0"/>
    </w:pPr>
  </w:style>
  <w:style w:type="character" w:customStyle="1" w:styleId="ad">
    <w:name w:val="フッター (文字)"/>
    <w:basedOn w:val="a0"/>
    <w:link w:val="ac"/>
    <w:uiPriority w:val="99"/>
    <w:rsid w:val="00440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Hattori</dc:creator>
  <cp:keywords/>
  <dc:description/>
  <cp:lastModifiedBy>Naoki Hattori</cp:lastModifiedBy>
  <cp:revision>7</cp:revision>
  <cp:lastPrinted>2026-01-13T23:59:00Z</cp:lastPrinted>
  <dcterms:created xsi:type="dcterms:W3CDTF">2026-02-17T23:12:00Z</dcterms:created>
  <dcterms:modified xsi:type="dcterms:W3CDTF">2026-02-19T05:59:00Z</dcterms:modified>
</cp:coreProperties>
</file>